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olor w:val="auto"/>
          <w:sz w:val="32"/>
          <w:szCs w:val="32"/>
        </w:rPr>
      </w:pPr>
    </w:p>
    <w:p>
      <w:pPr>
        <w:spacing w:before="120" w:beforeLines="50" w:after="120" w:afterLines="50" w:line="600" w:lineRule="exact"/>
        <w:ind w:firstLine="720" w:firstLineChars="200"/>
        <w:jc w:val="center"/>
        <w:rPr>
          <w:rFonts w:hint="eastAsia" w:ascii="Times New Roman" w:hAnsi="Times New Roman" w:eastAsia="方正小标宋_GBK"/>
          <w:b/>
          <w:bCs/>
          <w:color w:val="auto"/>
          <w:sz w:val="32"/>
          <w:lang w:eastAsia="zh-CN"/>
        </w:rPr>
      </w:pPr>
      <w:r>
        <w:rPr>
          <w:rFonts w:hint="eastAsia" w:ascii="Times New Roman" w:hAnsi="Times New Roman" w:eastAsia="方正小标宋_GBK"/>
          <w:color w:val="auto"/>
          <w:sz w:val="36"/>
          <w:szCs w:val="36"/>
          <w:lang w:eastAsia="zh-CN"/>
        </w:rPr>
        <w:t>湖南省</w:t>
      </w:r>
      <w:r>
        <w:rPr>
          <w:rFonts w:ascii="Times New Roman" w:hAnsi="Times New Roman" w:eastAsia="方正小标宋_GBK"/>
          <w:color w:val="auto"/>
          <w:sz w:val="36"/>
          <w:szCs w:val="36"/>
        </w:rPr>
        <w:t>财政</w:t>
      </w:r>
      <w:r>
        <w:rPr>
          <w:rFonts w:hint="eastAsia" w:ascii="Times New Roman" w:hAnsi="Times New Roman" w:eastAsia="方正小标宋_GBK"/>
          <w:color w:val="auto"/>
          <w:sz w:val="36"/>
          <w:szCs w:val="36"/>
          <w:lang w:eastAsia="zh-CN"/>
        </w:rPr>
        <w:t>厅</w:t>
      </w:r>
      <w:r>
        <w:rPr>
          <w:rFonts w:ascii="Times New Roman" w:hAnsi="Times New Roman" w:eastAsia="方正小标宋_GBK"/>
          <w:color w:val="auto"/>
          <w:sz w:val="36"/>
          <w:szCs w:val="36"/>
        </w:rPr>
        <w:t>行政处罚裁量权</w:t>
      </w:r>
      <w:r>
        <w:rPr>
          <w:rFonts w:hint="eastAsia" w:ascii="Times New Roman" w:hAnsi="Times New Roman" w:eastAsia="方正小标宋_GBK"/>
          <w:color w:val="auto"/>
          <w:sz w:val="36"/>
          <w:szCs w:val="36"/>
          <w:lang w:eastAsia="zh-CN"/>
        </w:rPr>
        <w:t>免罚清单</w:t>
      </w:r>
    </w:p>
    <w:p>
      <w:pPr>
        <w:spacing w:line="600" w:lineRule="exact"/>
        <w:rPr>
          <w:rFonts w:ascii="Times New Roman" w:hAnsi="Times New Roman" w:eastAsia="黑体"/>
          <w:color w:val="auto"/>
          <w:sz w:val="32"/>
          <w:szCs w:val="32"/>
        </w:rPr>
      </w:pPr>
      <w:r>
        <w:rPr>
          <w:rFonts w:hint="eastAsia" w:ascii="Times New Roman" w:hAnsi="Times New Roman" w:eastAsia="黑体"/>
          <w:b/>
          <w:bCs/>
          <w:color w:val="auto"/>
          <w:szCs w:val="28"/>
          <w:lang w:eastAsia="zh-CN"/>
        </w:rPr>
        <w:t>一</w:t>
      </w:r>
      <w:r>
        <w:rPr>
          <w:rFonts w:ascii="Times New Roman" w:hAnsi="Times New Roman" w:eastAsia="黑体"/>
          <w:b/>
          <w:bCs/>
          <w:color w:val="auto"/>
          <w:szCs w:val="28"/>
        </w:rPr>
        <w:t>、</w:t>
      </w:r>
      <w:r>
        <w:rPr>
          <w:rFonts w:ascii="Times New Roman" w:hAnsi="Times New Roman" w:eastAsia="黑体"/>
          <w:color w:val="auto"/>
          <w:sz w:val="32"/>
          <w:szCs w:val="32"/>
        </w:rPr>
        <w:t>政府采购监督类</w:t>
      </w:r>
    </w:p>
    <w:tbl>
      <w:tblPr>
        <w:tblStyle w:val="4"/>
        <w:tblW w:w="5377" w:type="pct"/>
        <w:jc w:val="center"/>
        <w:tblLayout w:type="fixed"/>
        <w:tblCellMar>
          <w:top w:w="0" w:type="dxa"/>
          <w:left w:w="108" w:type="dxa"/>
          <w:bottom w:w="0" w:type="dxa"/>
          <w:right w:w="108" w:type="dxa"/>
        </w:tblCellMar>
      </w:tblPr>
      <w:tblGrid>
        <w:gridCol w:w="700"/>
        <w:gridCol w:w="1501"/>
        <w:gridCol w:w="4216"/>
        <w:gridCol w:w="652"/>
        <w:gridCol w:w="4844"/>
        <w:gridCol w:w="3376"/>
      </w:tblGrid>
      <w:tr>
        <w:tblPrEx>
          <w:tblCellMar>
            <w:top w:w="0" w:type="dxa"/>
            <w:left w:w="108" w:type="dxa"/>
            <w:bottom w:w="0" w:type="dxa"/>
            <w:right w:w="108" w:type="dxa"/>
          </w:tblCellMar>
        </w:tblPrEx>
        <w:trPr>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采购人、采购代理机构拒收质疑供应商在法定质疑期内发出的质疑函</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第三十六条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（一）拒收质疑供应商在法定质疑期内发出的质疑函；</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拒收质疑供应商在法定质疑期内发出的质疑函，</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未影响中标结果</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w:t>
            </w:r>
          </w:p>
        </w:tc>
      </w:tr>
      <w:tr>
        <w:tblPrEx>
          <w:tblCellMar>
            <w:top w:w="0" w:type="dxa"/>
            <w:left w:w="108" w:type="dxa"/>
            <w:bottom w:w="0" w:type="dxa"/>
            <w:right w:w="108" w:type="dxa"/>
          </w:tblCellMar>
        </w:tblPrEx>
        <w:trPr>
          <w:trHeight w:val="648"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采购人、采购代理机构对质疑不予答复或者答复与事实明显不符，并不能作出合理说明</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第三十六条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（二）对质疑不予答复或者答复与事实明显不符，并不能作出合理说明；</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对质疑不予答复或者答复与事实明显不符，并不能作出合理说明，</w:t>
            </w:r>
            <w:r>
              <w:rPr>
                <w:rFonts w:hint="eastAsia" w:ascii="Times New Roman" w:hAnsi="Times New Roman" w:eastAsia="仿宋_GB2312"/>
                <w:color w:val="auto"/>
                <w:sz w:val="18"/>
                <w:szCs w:val="18"/>
                <w:lang w:eastAsia="zh-CN" w:bidi="ar"/>
              </w:rPr>
              <w:t>首次违法，且</w:t>
            </w:r>
            <w:r>
              <w:rPr>
                <w:rFonts w:ascii="Times New Roman" w:hAnsi="Times New Roman" w:eastAsia="仿宋_GB2312"/>
                <w:color w:val="auto"/>
                <w:sz w:val="18"/>
                <w:szCs w:val="18"/>
                <w:lang w:bidi="ar"/>
              </w:rPr>
              <w:t>不影响中标结果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w:t>
            </w:r>
          </w:p>
        </w:tc>
      </w:tr>
      <w:tr>
        <w:tblPrEx>
          <w:tblCellMar>
            <w:top w:w="0" w:type="dxa"/>
            <w:left w:w="108" w:type="dxa"/>
            <w:bottom w:w="0" w:type="dxa"/>
            <w:right w:w="108" w:type="dxa"/>
          </w:tblCellMar>
        </w:tblPrEx>
        <w:trPr>
          <w:trHeight w:val="689"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23</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采购人、采购代理机构拒绝配合财政部门处理投诉事宜</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《政府采购质疑和投诉办法》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第三十六条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（三）拒绝配合财政部门处理投诉事宜。</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第一次拒绝配合财政部门处理投诉事宜</w:t>
            </w:r>
            <w:r>
              <w:rPr>
                <w:rFonts w:hint="eastAsia" w:ascii="Times New Roman" w:hAnsi="Times New Roman" w:eastAsia="仿宋_GB2312"/>
                <w:color w:val="auto"/>
                <w:sz w:val="18"/>
                <w:szCs w:val="18"/>
                <w:lang w:eastAsia="zh-CN" w:bidi="ar"/>
              </w:rPr>
              <w:t>，情节轻微，及时改正的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w:t>
            </w:r>
          </w:p>
        </w:tc>
      </w:tr>
      <w:tr>
        <w:tblPrEx>
          <w:tblCellMar>
            <w:top w:w="0" w:type="dxa"/>
            <w:left w:w="108" w:type="dxa"/>
            <w:bottom w:w="0" w:type="dxa"/>
            <w:right w:w="108" w:type="dxa"/>
          </w:tblCellMar>
        </w:tblPrEx>
        <w:trPr>
          <w:trHeight w:val="922"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24</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采购人未按照本办法的规定编制采购需求的</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（一）未按照本办法的规定编制采购需求的；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采购人未按照《政府采购货物和服务招标投标管理办法》的规定编制采购需求的，涉及的采购项目预算在200万元以下</w:t>
            </w:r>
            <w:r>
              <w:rPr>
                <w:rFonts w:hint="eastAsia" w:ascii="Times New Roman" w:hAnsi="Times New Roman" w:eastAsia="仿宋_GB2312"/>
                <w:color w:val="auto"/>
                <w:sz w:val="18"/>
                <w:szCs w:val="18"/>
                <w:lang w:eastAsia="zh-CN" w:bidi="ar"/>
              </w:rPr>
              <w:t>，初次违法，及时改正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1322"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25</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采购人向供应商索要或者接受其给予的赠品、回扣或者与采购无关的其他商品、服务</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（二）违反本办法第六条第二款规定的；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采购人向供应商索要或者接受其给予的赠品、回扣或者与采购无关的其他商品、服务，</w:t>
            </w:r>
            <w:r>
              <w:rPr>
                <w:rFonts w:hint="eastAsia" w:ascii="Times New Roman" w:hAnsi="Times New Roman" w:eastAsia="仿宋_GB2312"/>
                <w:color w:val="auto"/>
                <w:sz w:val="18"/>
                <w:szCs w:val="18"/>
                <w:lang w:eastAsia="zh-CN" w:bidi="ar"/>
              </w:rPr>
              <w:t>初次违法，情节轻微，</w:t>
            </w:r>
            <w:r>
              <w:rPr>
                <w:rFonts w:ascii="Times New Roman" w:hAnsi="Times New Roman" w:eastAsia="仿宋_GB2312"/>
                <w:color w:val="auto"/>
                <w:sz w:val="18"/>
                <w:szCs w:val="18"/>
                <w:lang w:bidi="ar"/>
              </w:rPr>
              <w:t>涉及的采购项目预算在200万元以下的，不影响中标结果</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903"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26</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采购人未在规定时间内确定中标人</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（三）未在规定时间内确定中标人的；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采购人未在规定时间内确定中标人，</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涉及项目1个</w:t>
            </w:r>
            <w:r>
              <w:rPr>
                <w:rFonts w:hint="eastAsia" w:ascii="Times New Roman" w:hAnsi="Times New Roman" w:eastAsia="仿宋_GB2312"/>
                <w:color w:val="auto"/>
                <w:sz w:val="18"/>
                <w:szCs w:val="18"/>
                <w:lang w:eastAsia="zh-CN" w:bidi="ar"/>
              </w:rPr>
              <w:t>，及时改正的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1039"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27</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采购人向中标人提出不合理要求作为签订合同条件的</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（四）向中标人提出不合理要求作为签订合同条件的。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olor w:val="auto"/>
                <w:sz w:val="18"/>
                <w:szCs w:val="18"/>
                <w:lang w:val="en-US" w:eastAsia="zh-CN"/>
              </w:rPr>
            </w:pPr>
            <w:r>
              <w:rPr>
                <w:rFonts w:ascii="Times New Roman" w:hAnsi="Times New Roman" w:eastAsia="仿宋_GB2312"/>
                <w:color w:val="auto"/>
                <w:sz w:val="18"/>
                <w:szCs w:val="18"/>
                <w:lang w:bidi="ar"/>
              </w:rPr>
              <w:t>采购人向中标人提出不合理要求作为签订合同条件，涉及项目1个</w:t>
            </w:r>
            <w:r>
              <w:rPr>
                <w:rFonts w:hint="eastAsia" w:ascii="Times New Roman" w:hAnsi="Times New Roman" w:eastAsia="仿宋_GB2312"/>
                <w:color w:val="auto"/>
                <w:sz w:val="18"/>
                <w:szCs w:val="18"/>
                <w:lang w:eastAsia="zh-CN" w:bidi="ar"/>
              </w:rPr>
              <w:t>，初次违法，情节轻微，及时改正的。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1294"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28</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采购代理机构及其分支机构在所代理的采购项目中投标或者代理投标，或为所代理的采购项目的投标人参加本项目提供投标咨询</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（一）违反本办法第八条第二款规定的；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采购代理机构及其分支机构在所代理的采购项目中投标或者代理投标，为所代理的采购项目的投标人参加本项目提供投标咨询</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1个项目且</w:t>
            </w:r>
            <w:r>
              <w:rPr>
                <w:rFonts w:hint="eastAsia" w:ascii="Times New Roman" w:hAnsi="Times New Roman" w:eastAsia="仿宋_GB2312"/>
                <w:color w:val="auto"/>
                <w:sz w:val="18"/>
                <w:szCs w:val="18"/>
                <w:lang w:eastAsia="zh-CN" w:bidi="ar"/>
              </w:rPr>
              <w:t>最终未中标的，及时改正的。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对代理机构责令限期改正。</w:t>
            </w:r>
          </w:p>
        </w:tc>
      </w:tr>
      <w:tr>
        <w:tblPrEx>
          <w:tblCellMar>
            <w:top w:w="0" w:type="dxa"/>
            <w:left w:w="108" w:type="dxa"/>
            <w:bottom w:w="0" w:type="dxa"/>
            <w:right w:w="108" w:type="dxa"/>
          </w:tblCellMar>
        </w:tblPrEx>
        <w:trPr>
          <w:trHeight w:val="1103"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29</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采购人、采购代理机构设定最低限价的</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（二）设定最低限价的；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在招标文件中设定最低限价，</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660"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30</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采购人、采购代理机构未按照规定进行资格预审或者资格审查的</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（三）未按照规定进行资格预审或者资格审查的；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未按照规定进行资格预审或者资格审查</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1个项目，且未影响中标结果，及时改正的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784"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31</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采购人、采购代理机构违反规定确定招标文件售价的</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（四）违反本办法规定确定招标文件售价的；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olor w:val="auto"/>
                <w:sz w:val="18"/>
                <w:szCs w:val="18"/>
                <w:lang w:val="en-US" w:eastAsia="zh-CN"/>
              </w:rPr>
            </w:pPr>
            <w:r>
              <w:rPr>
                <w:rFonts w:ascii="Times New Roman" w:hAnsi="Times New Roman" w:eastAsia="仿宋_GB2312"/>
                <w:color w:val="auto"/>
                <w:sz w:val="18"/>
                <w:szCs w:val="18"/>
                <w:lang w:bidi="ar"/>
              </w:rPr>
              <w:t>违反《政府采购货物和服务招标投标管理办法》规定确定招标文件售价的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898"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32</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采购人、采购代理机构未按规定对开标、评标活动进行全程录音录像的</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（五）未按规定对开标、评标活动进行全程录音录像的；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未按规定对开标、评标活动进行全程录音录像的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1422"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33</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采购人、采购代理机构擅自终止招标活动的</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（六）擅自终止招标活动的；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擅自终止招标活动</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689"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34</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采购人、采购代理机构未按照规定进行开标和组织评标的</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（七）未按照规定进行开标和组织评标的；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未按照规定进行开标和组织评标的，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747"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35</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采购人、采购代理机构未按照规定退还投标保证金的</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（八）未按照规定退还投标保证金的；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未按照规定退还投标保证金</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1111"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36</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采购人、采购代理机构违反本办法规定进行重新评审或者重新组建评标委员会进行评标的</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（九）违反本办法规定进行重新评审或者重新组建评标委员会进行评标的；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违反规定进行重新评审或者重新组建评标委员会进行评标的，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37</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采购人、采购代理机构在开标前泄露已获取招标文件的潜在投标人的名称、数量或者其他可能影响公平竞争的有关招标投标情况的</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（十）开标前泄露已获取招标文件的潜在投标人的名称、数量或者其他可能影响公平竞争的有关招标投标情况的；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开标前泄露已获取招标文件的潜在投标人的名称、数量或者其他可能影响公平竞争的有关招标投标情况的，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949"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38</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采购人、采购代理机构未妥善保存采购文件的</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（十一）未妥善保存采购文件的；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未妥善保存1个项目采购文件</w:t>
            </w:r>
            <w:r>
              <w:rPr>
                <w:rFonts w:hint="eastAsia" w:ascii="Times New Roman" w:hAnsi="Times New Roman" w:eastAsia="仿宋_GB2312"/>
                <w:color w:val="auto"/>
                <w:sz w:val="18"/>
                <w:szCs w:val="18"/>
                <w:lang w:eastAsia="zh-CN" w:bidi="ar"/>
              </w:rPr>
              <w:t>，初次违法，</w:t>
            </w:r>
            <w:r>
              <w:rPr>
                <w:rFonts w:hint="eastAsia" w:ascii="Times New Roman" w:hAnsi="Times New Roman" w:eastAsia="仿宋_GB2312"/>
                <w:color w:val="auto"/>
                <w:sz w:val="18"/>
                <w:szCs w:val="18"/>
                <w:lang w:val="en-US" w:eastAsia="zh-CN" w:bidi="ar"/>
              </w:rPr>
              <w:t>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715"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39</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采购人、采购代理机构其他违反87号令规定的情形</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（十二）其他违反本办法规定的情形。</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其他违反《政府采购货物和服务招标投标管理办法》规定的情形。</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1290"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48</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评标委员会及成员在确定参与评标至评标结束前私自接触投标人</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（一）确定参与评标至评标结束前私自接触投标人；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评标委员会及成员在确定参与评标至评标结束前私自接触投标人，</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涉及项目1个，但未影响中标结果的</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49</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评标委员会及成员接受投标人提出的与投标文件不一致的澄清或者说明</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（二）接受投标人提出的与投标文件不一致的澄清或者说明，本办法第五十一条规定的情形除外；</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评标委员会及成员接受投标人提出的与投标文件不一致的澄清或者说明（</w:t>
            </w:r>
            <w:r>
              <w:rPr>
                <w:rFonts w:hint="eastAsia" w:ascii="Times New Roman" w:hAnsi="Times New Roman" w:eastAsia="仿宋_GB2312"/>
                <w:color w:val="auto"/>
                <w:sz w:val="18"/>
                <w:szCs w:val="18"/>
                <w:lang w:bidi="ar"/>
              </w:rPr>
              <w:t>《政府采购货物和服务招标投标管理办法》</w:t>
            </w:r>
            <w:r>
              <w:rPr>
                <w:rFonts w:ascii="Times New Roman" w:hAnsi="Times New Roman" w:eastAsia="仿宋_GB2312"/>
                <w:color w:val="auto"/>
                <w:sz w:val="18"/>
                <w:szCs w:val="18"/>
                <w:lang w:bidi="ar"/>
              </w:rPr>
              <w:t>第五十一条规定的情形除外），</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50</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评标委员会及成员违反评标纪律发表倾向性意见或者征询采购人的倾向性意见</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（三）违反评标纪律发表倾向性意见或者征询采购人的倾向性意见；</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评标委员会及成员违反评标纪律发表倾向性意见或者征询采购人的倾向性意见，</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未影响中标结果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51</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评标委员会及成员对需要专业判断的主观评审因素协商评分</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（四）对需要专业判断的主观评审因素协商评分；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评标委员会及成员对需要专业判断的主观评审因素协商评分，</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trHeight w:val="1006"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52</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评标委员会及成员在评标过程中擅离职守，影响评标程序正常进行的</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（五）在评标过程中擅离职守，影响评标程序正常进行的；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第八十一条评标委员会成员有本办法第六十二条所列行为之一的，由财政部门责令限期改正；情节严重的，给予警告，并对其不良行为予以记录。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评标委员会及其成员在评标过程中擅离职守，影响评标程序正常进行的，</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trHeight w:val="756" w:hRule="atLeast"/>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53</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评标委员会及成员记录、复制或者带走任何评标资料</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（六）记录、复制或者带走任何评标资料；</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评标委员会及成员在1个项目中记录、复制或者带走任何评标资料</w:t>
            </w:r>
            <w:r>
              <w:rPr>
                <w:rFonts w:hint="eastAsia" w:ascii="Times New Roman" w:hAnsi="Times New Roman" w:eastAsia="仿宋_GB2312"/>
                <w:color w:val="auto"/>
                <w:sz w:val="18"/>
                <w:szCs w:val="18"/>
                <w:lang w:eastAsia="zh-CN" w:bidi="ar"/>
              </w:rPr>
              <w:t>，危害后果轻微，及时改正的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jc w:val="center"/>
        </w:trPr>
        <w:tc>
          <w:tcPr>
            <w:tcW w:w="228"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54</w:t>
            </w:r>
          </w:p>
        </w:tc>
        <w:tc>
          <w:tcPr>
            <w:tcW w:w="490"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评标委员会及成员其他不遵守评标纪律的行为</w:t>
            </w:r>
          </w:p>
        </w:tc>
        <w:tc>
          <w:tcPr>
            <w:tcW w:w="1378"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（七）其他不遵守评标纪律的行为。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评标委员会及成员在1个项目中有其他不遵守评标纪律的行为</w:t>
            </w:r>
            <w:r>
              <w:rPr>
                <w:rFonts w:hint="eastAsia" w:ascii="Times New Roman" w:hAnsi="Times New Roman" w:eastAsia="仿宋_GB2312"/>
                <w:color w:val="auto"/>
                <w:sz w:val="18"/>
                <w:szCs w:val="18"/>
                <w:lang w:eastAsia="zh-CN" w:bidi="ar"/>
              </w:rPr>
              <w:t>，危害后果轻微，及时改正的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bl>
    <w:p>
      <w:pPr>
        <w:spacing w:line="600" w:lineRule="exact"/>
        <w:rPr>
          <w:rFonts w:ascii="Times New Roman" w:hAnsi="Times New Roman" w:eastAsia="仿宋_GB2312"/>
          <w:b/>
          <w:bCs/>
          <w:color w:val="auto"/>
          <w:sz w:val="32"/>
          <w:szCs w:val="32"/>
        </w:rPr>
      </w:pPr>
      <w:r>
        <w:rPr>
          <w:rFonts w:ascii="Times New Roman" w:hAnsi="Times New Roman" w:eastAsia="仿宋_GB2312"/>
          <w:b/>
          <w:bCs/>
          <w:color w:val="auto"/>
          <w:sz w:val="32"/>
          <w:szCs w:val="32"/>
        </w:rPr>
        <w:br w:type="page"/>
      </w:r>
      <w:r>
        <w:rPr>
          <w:rFonts w:hint="eastAsia" w:ascii="Times New Roman" w:hAnsi="Times New Roman" w:eastAsia="仿宋_GB2312"/>
          <w:b/>
          <w:bCs/>
          <w:color w:val="auto"/>
          <w:sz w:val="32"/>
          <w:szCs w:val="32"/>
          <w:lang w:eastAsia="zh-CN"/>
        </w:rPr>
        <w:t>二</w:t>
      </w:r>
      <w:r>
        <w:rPr>
          <w:rFonts w:ascii="Times New Roman" w:hAnsi="Times New Roman" w:eastAsia="黑体"/>
          <w:color w:val="auto"/>
          <w:sz w:val="32"/>
          <w:szCs w:val="32"/>
        </w:rPr>
        <w:t>、注册会计师和会计师事务所监督类</w:t>
      </w:r>
    </w:p>
    <w:tbl>
      <w:tblPr>
        <w:tblStyle w:val="4"/>
        <w:tblW w:w="5354" w:type="pct"/>
        <w:jc w:val="center"/>
        <w:tblLayout w:type="autofit"/>
        <w:tblCellMar>
          <w:top w:w="0" w:type="dxa"/>
          <w:left w:w="108" w:type="dxa"/>
          <w:bottom w:w="0" w:type="dxa"/>
          <w:right w:w="108" w:type="dxa"/>
        </w:tblCellMar>
      </w:tblPr>
      <w:tblGrid>
        <w:gridCol w:w="609"/>
        <w:gridCol w:w="1136"/>
        <w:gridCol w:w="3865"/>
        <w:gridCol w:w="679"/>
        <w:gridCol w:w="5643"/>
        <w:gridCol w:w="3292"/>
      </w:tblGrid>
      <w:tr>
        <w:tblPrEx>
          <w:tblCellMar>
            <w:top w:w="0" w:type="dxa"/>
            <w:left w:w="108" w:type="dxa"/>
            <w:bottom w:w="0" w:type="dxa"/>
            <w:right w:w="108" w:type="dxa"/>
          </w:tblCellMar>
        </w:tblPrEx>
        <w:trPr>
          <w:trHeight w:val="4034" w:hRule="atLeast"/>
          <w:jc w:val="center"/>
        </w:trPr>
        <w:tc>
          <w:tcPr>
            <w:tcW w:w="2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3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会计师事务所、注册会计师未实施严格的逐级复核制度，未按规定编制和保存审计工作底稿</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（五）未实施严格的逐级复核制度，未按规定编制和保存审计工作底稿</w:t>
            </w:r>
            <w:r>
              <w:rPr>
                <w:rFonts w:ascii="Times New Roman" w:hAnsi="Times New Roman" w:eastAsia="仿宋_GB2312"/>
                <w:b/>
                <w:color w:val="auto"/>
                <w:sz w:val="18"/>
                <w:szCs w:val="18"/>
                <w:lang w:bidi="ar"/>
              </w:rPr>
              <w:t>；</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第六十三条 </w:t>
            </w:r>
            <w:r>
              <w:rPr>
                <w:rFonts w:ascii="Times New Roman" w:hAnsi="Times New Roman" w:eastAsia="仿宋_GB2312"/>
                <w:color w:val="auto"/>
                <w:sz w:val="18"/>
                <w:szCs w:val="18"/>
                <w:lang w:bidi="ar"/>
              </w:rPr>
              <w:t>会计师事务所或者注册会计师违反法律法规及本办法规定的，由省级以上财政部门依法给予行政处罚。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85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1、未实施严格的逐级复核制度；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2、未按法律规定的期限保存审计工作底稿，致使三年前的工作底稿资料毁损、灭失，涉及审计报告数量在3件以下</w:t>
            </w:r>
            <w:r>
              <w:rPr>
                <w:rFonts w:hint="eastAsia" w:ascii="Times New Roman" w:hAnsi="Times New Roman" w:eastAsia="仿宋_GB2312"/>
                <w:color w:val="auto"/>
                <w:sz w:val="18"/>
                <w:szCs w:val="18"/>
                <w:lang w:eastAsia="zh-CN" w:bidi="ar"/>
              </w:rPr>
              <w:t>，危害后果轻微</w:t>
            </w:r>
            <w:r>
              <w:rPr>
                <w:rFonts w:ascii="Times New Roman" w:hAnsi="Times New Roman" w:eastAsia="仿宋_GB2312"/>
                <w:color w:val="auto"/>
                <w:sz w:val="18"/>
                <w:szCs w:val="18"/>
                <w:lang w:bidi="ar"/>
              </w:rPr>
              <w:t>的。</w:t>
            </w:r>
          </w:p>
        </w:tc>
        <w:tc>
          <w:tcPr>
            <w:tcW w:w="10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CellMar>
            <w:top w:w="0" w:type="dxa"/>
            <w:left w:w="108" w:type="dxa"/>
            <w:bottom w:w="0" w:type="dxa"/>
            <w:right w:w="108" w:type="dxa"/>
          </w:tblCellMar>
        </w:tblPrEx>
        <w:trPr>
          <w:trHeight w:val="5028" w:hRule="atLeast"/>
          <w:jc w:val="center"/>
        </w:trPr>
        <w:tc>
          <w:tcPr>
            <w:tcW w:w="2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3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会计师事务所、注册会计师未保持形式上和实质上的独立</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（六）未保持形式上和实质上的独立；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bCs/>
                <w:color w:val="auto"/>
                <w:sz w:val="18"/>
                <w:szCs w:val="18"/>
                <w:lang w:bidi="ar"/>
              </w:rPr>
              <w:t>第六十三条</w:t>
            </w:r>
            <w:r>
              <w:rPr>
                <w:rFonts w:ascii="Times New Roman" w:hAnsi="Times New Roman" w:eastAsia="仿宋_GB2312"/>
                <w:color w:val="auto"/>
                <w:sz w:val="18"/>
                <w:szCs w:val="18"/>
                <w:lang w:bidi="ar"/>
              </w:rPr>
              <w:t xml:space="preserve">会计师事务所或者注册会计师违反法律法规及本办法规定的，由省级以上财政部门依法给予行政处罚。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   </w:t>
            </w:r>
          </w:p>
          <w:p>
            <w:pPr>
              <w:widowControl/>
              <w:ind w:firstLine="180" w:firstLineChars="100"/>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85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会计师事务所、注册会计师情</w:t>
            </w:r>
            <w:r>
              <w:rPr>
                <w:rFonts w:ascii="Times New Roman" w:hAnsi="Times New Roman" w:eastAsia="仿宋_GB2312"/>
                <w:color w:val="auto"/>
                <w:sz w:val="18"/>
                <w:szCs w:val="18"/>
                <w:lang w:bidi="ar"/>
              </w:rPr>
              <w:t>节轻微，没有造成危害后果的。</w:t>
            </w:r>
          </w:p>
        </w:tc>
        <w:tc>
          <w:tcPr>
            <w:tcW w:w="10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CellMar>
            <w:top w:w="0" w:type="dxa"/>
            <w:left w:w="108" w:type="dxa"/>
            <w:bottom w:w="0" w:type="dxa"/>
            <w:right w:w="108" w:type="dxa"/>
          </w:tblCellMar>
        </w:tblPrEx>
        <w:trPr>
          <w:trHeight w:val="4243" w:hRule="atLeast"/>
          <w:jc w:val="center"/>
        </w:trPr>
        <w:tc>
          <w:tcPr>
            <w:tcW w:w="2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3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会计师事务所、注册会计师违反执业准则、规则的其他行为</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（七）违反执业准则、规则的其他行为。</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第六十三条 </w:t>
            </w:r>
            <w:r>
              <w:rPr>
                <w:rFonts w:ascii="Times New Roman" w:hAnsi="Times New Roman" w:eastAsia="仿宋_GB2312"/>
                <w:color w:val="auto"/>
                <w:sz w:val="18"/>
                <w:szCs w:val="18"/>
                <w:lang w:bidi="ar"/>
              </w:rPr>
              <w:t>会计师事务所或者注册会计师违反法律法规及本办法规定的，由省级以上财政部门依法给予行政处罚。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85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违反执业准则、规则的其他行为，情节轻微，没有造成危害后果的。</w:t>
            </w:r>
          </w:p>
        </w:tc>
        <w:tc>
          <w:tcPr>
            <w:tcW w:w="10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CellMar>
            <w:top w:w="0" w:type="dxa"/>
            <w:left w:w="108" w:type="dxa"/>
            <w:bottom w:w="0" w:type="dxa"/>
            <w:right w:w="108" w:type="dxa"/>
          </w:tblCellMar>
        </w:tblPrEx>
        <w:trPr>
          <w:trHeight w:val="921" w:hRule="atLeast"/>
          <w:jc w:val="center"/>
        </w:trPr>
        <w:tc>
          <w:tcPr>
            <w:tcW w:w="20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32</w:t>
            </w:r>
          </w:p>
        </w:tc>
        <w:tc>
          <w:tcPr>
            <w:tcW w:w="3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注册会计师接受委托催收债款</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（三）接受委托催收债款；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第六十三条第二款 </w:t>
            </w:r>
            <w:r>
              <w:rPr>
                <w:rFonts w:ascii="Times New Roman" w:hAnsi="Times New Roman" w:eastAsia="仿宋_GB2312"/>
                <w:color w:val="auto"/>
                <w:sz w:val="18"/>
                <w:szCs w:val="18"/>
                <w:lang w:bidi="ar"/>
              </w:rPr>
              <w:t>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b/>
                <w:bCs w:val="0"/>
                <w:color w:val="auto"/>
                <w:sz w:val="18"/>
                <w:szCs w:val="18"/>
                <w:lang w:bidi="ar"/>
              </w:rPr>
              <w:t>免于处罚</w:t>
            </w:r>
          </w:p>
        </w:tc>
        <w:tc>
          <w:tcPr>
            <w:tcW w:w="185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接受委托未实际催收，情节轻微，没有危害后果的。</w:t>
            </w:r>
          </w:p>
        </w:tc>
        <w:tc>
          <w:tcPr>
            <w:tcW w:w="1081"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CellMar>
            <w:top w:w="0" w:type="dxa"/>
            <w:left w:w="108" w:type="dxa"/>
            <w:bottom w:w="0" w:type="dxa"/>
            <w:right w:w="108" w:type="dxa"/>
          </w:tblCellMar>
        </w:tblPrEx>
        <w:trPr>
          <w:jc w:val="center"/>
        </w:trPr>
        <w:tc>
          <w:tcPr>
            <w:tcW w:w="20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37</w:t>
            </w:r>
          </w:p>
        </w:tc>
        <w:tc>
          <w:tcPr>
            <w:tcW w:w="3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注册会计师违反法律、行政法规的其他行为</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（八）违反法律、行政法规的其他行为。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第六十三条第二款</w:t>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spacing w:line="220" w:lineRule="exact"/>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bCs/>
                <w:color w:val="auto"/>
                <w:sz w:val="18"/>
                <w:szCs w:val="18"/>
                <w:lang w:eastAsia="zh-CN" w:bidi="ar"/>
              </w:rPr>
            </w:pPr>
            <w:r>
              <w:rPr>
                <w:rFonts w:hint="eastAsia" w:ascii="Times New Roman" w:hAnsi="Times New Roman" w:eastAsia="仿宋_GB2312"/>
                <w:b/>
                <w:bCs/>
                <w:color w:val="auto"/>
                <w:sz w:val="18"/>
                <w:szCs w:val="18"/>
                <w:lang w:eastAsia="zh-CN" w:bidi="ar"/>
              </w:rPr>
              <w:t>免于处罚</w:t>
            </w:r>
          </w:p>
        </w:tc>
        <w:tc>
          <w:tcPr>
            <w:tcW w:w="185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存在违反法律、行政法规的其他行为，情节轻微，没有危害后果的。</w:t>
            </w:r>
          </w:p>
        </w:tc>
        <w:tc>
          <w:tcPr>
            <w:tcW w:w="1081"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责令限期整改、下达监管关注函、出具管理建议书、约谈、通报等方式进行处理。</w:t>
            </w:r>
          </w:p>
        </w:tc>
      </w:tr>
    </w:tbl>
    <w:p>
      <w:pPr>
        <w:spacing w:line="600" w:lineRule="exact"/>
        <w:jc w:val="left"/>
        <w:rPr>
          <w:rFonts w:ascii="Times New Roman" w:hAnsi="Times New Roman" w:eastAsia="仿宋_GB2312"/>
          <w:b/>
          <w:bCs/>
          <w:color w:val="auto"/>
          <w:sz w:val="32"/>
          <w:szCs w:val="32"/>
        </w:rPr>
      </w:pPr>
      <w:r>
        <w:rPr>
          <w:rFonts w:ascii="Times New Roman" w:hAnsi="Times New Roman" w:eastAsia="仿宋_GB2312"/>
          <w:b/>
          <w:bCs/>
          <w:color w:val="auto"/>
          <w:sz w:val="32"/>
          <w:szCs w:val="32"/>
        </w:rPr>
        <w:br w:type="page"/>
      </w:r>
      <w:r>
        <w:rPr>
          <w:rFonts w:hint="eastAsia" w:ascii="Times New Roman" w:hAnsi="Times New Roman" w:eastAsia="仿宋_GB2312"/>
          <w:b/>
          <w:bCs/>
          <w:color w:val="auto"/>
          <w:sz w:val="32"/>
          <w:szCs w:val="32"/>
          <w:lang w:eastAsia="zh-CN"/>
        </w:rPr>
        <w:t>三</w:t>
      </w:r>
      <w:bookmarkStart w:id="0" w:name="_GoBack"/>
      <w:bookmarkEnd w:id="0"/>
      <w:r>
        <w:rPr>
          <w:rFonts w:ascii="Times New Roman" w:hAnsi="Times New Roman" w:eastAsia="黑体"/>
          <w:color w:val="auto"/>
          <w:sz w:val="32"/>
          <w:szCs w:val="32"/>
        </w:rPr>
        <w:t>、财务会计监督类</w:t>
      </w:r>
    </w:p>
    <w:tbl>
      <w:tblPr>
        <w:tblStyle w:val="4"/>
        <w:tblW w:w="5354" w:type="pct"/>
        <w:jc w:val="center"/>
        <w:tblLayout w:type="autofit"/>
        <w:tblCellMar>
          <w:top w:w="0" w:type="dxa"/>
          <w:left w:w="108" w:type="dxa"/>
          <w:bottom w:w="0" w:type="dxa"/>
          <w:right w:w="108" w:type="dxa"/>
        </w:tblCellMar>
      </w:tblPr>
      <w:tblGrid>
        <w:gridCol w:w="649"/>
        <w:gridCol w:w="1170"/>
        <w:gridCol w:w="4046"/>
        <w:gridCol w:w="643"/>
        <w:gridCol w:w="4987"/>
        <w:gridCol w:w="3729"/>
      </w:tblGrid>
      <w:tr>
        <w:tblPrEx>
          <w:tblCellMar>
            <w:top w:w="0" w:type="dxa"/>
            <w:left w:w="108" w:type="dxa"/>
            <w:bottom w:w="0" w:type="dxa"/>
            <w:right w:w="108" w:type="dxa"/>
          </w:tblCellMar>
        </w:tblPrEx>
        <w:trPr>
          <w:tblHeader/>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b/>
                <w:color w:val="auto"/>
                <w:sz w:val="18"/>
                <w:szCs w:val="18"/>
                <w:lang w:eastAsia="zh-CN"/>
              </w:rPr>
            </w:pPr>
            <w:r>
              <w:rPr>
                <w:rFonts w:hint="eastAsia" w:ascii="Times New Roman" w:hAnsi="Times New Roman" w:eastAsia="仿宋_GB2312"/>
                <w:b/>
                <w:color w:val="auto"/>
                <w:sz w:val="18"/>
                <w:szCs w:val="18"/>
                <w:lang w:eastAsia="zh-CN" w:bidi="ar"/>
              </w:rPr>
              <w:t>裁量阶次</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668"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不依法设置会计账簿的</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一）不依法设置会计账簿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一）违反会计法和国家统一会计制度的规定设账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初次违反财务会计管理类法律规范，未依法规定设置辅助性账簿的</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948"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未按照规定填制、取得原始凭证或者填制、取得的原始凭证不符合规定的</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三）未按照规定填制、取得原始凭证或者填制、取得的原始凭证不符合规定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初次违反财务会计管理类法律法规，有以下情形之一，且金额合计10000元以下</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1.未按照规定取得原始凭证，且凭证数量5份以下的；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2.原始凭证内容错误，且凭证数量5份以下的；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3.记账凭证不按规定签章装订，且凭证数量5份以下的；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4.记账凭证内容不完整，且凭证数量5份以下的；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5.记账凭证的填制方法不符合会计规范要求，且凭证数量5份以下的；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6.记账凭证不按规定的方法更正错误，且凭证数量5份以下的。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8842"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以未经审核的会计凭证为依据登记会计账簿或者登记会计账簿不符合规定的</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四）以未经审核的会计凭证为依据登记会计账簿或者登记会计账簿不符合规定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有以下情形之一</w:t>
            </w:r>
            <w:r>
              <w:rPr>
                <w:rFonts w:hint="eastAsia" w:ascii="Times New Roman" w:hAnsi="Times New Roman" w:eastAsia="仿宋_GB2312"/>
                <w:color w:val="auto"/>
                <w:sz w:val="18"/>
                <w:szCs w:val="18"/>
                <w:lang w:eastAsia="zh-CN" w:bidi="ar"/>
              </w:rPr>
              <w:t>，情节轻微，及时改正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1.原始凭证未按《会计法》第十四条第三款规定进行审核的；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2.打印的会计账簿不连续编号的；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3.启用账簿时未在封面上填写单位和扉页启用表填写不全的；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4.不按账户顺序编号和编写页码的；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5.红笔记账不按规定的；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6.无日期或无内容摘要的；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7.跳行、隔页登记未按规定划线注销的或未有会计人员和会计机构负责人（会计主管人员）在更正处盖章的；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8.现金、银行存款记账不逐日结出余额的；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9.各账户未按规定按月结出余额的；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10.银行存款日记账余额和银行对账单不及时核对，不按规定编制银行存款调节表的；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11.转页和结计发生额不符合规定的；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12.打印的会计账簿不装订成册的；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13.活页式账簿不定期装订成册的；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14.会计账簿无记账人员和会计机构负责人或会计主管人员签章的；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15.任意简化国家统一的会计制度规定的会计科目，或填制会计凭证登记账簿时，只填科目编号，不填科目名称的；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16.会计账簿改错不符规定的；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17.会计电算化单位并行3个月后脱离手工账未按规定备案的。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877"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随意变更会计处理方法的</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五）随意变更会计处理方法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有以下情形之一</w:t>
            </w:r>
            <w:r>
              <w:rPr>
                <w:rFonts w:hint="eastAsia" w:ascii="Times New Roman" w:hAnsi="Times New Roman" w:eastAsia="仿宋_GB2312"/>
                <w:color w:val="auto"/>
                <w:sz w:val="18"/>
                <w:szCs w:val="18"/>
                <w:lang w:eastAsia="zh-CN" w:bidi="ar"/>
              </w:rPr>
              <w:t>，情节轻微，及时改正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1.未按国家统一的会计制度规定设置会计科目的；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2.未按会计制度规定的科目进行核算的。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856"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向不同的会计资料使用者提供的财务会计报告编制依据不一致的</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六）向不同的会计资料使用者提供的财务会计报告编制依据不一致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该项违法行为仅发生1次，</w:t>
            </w:r>
            <w:r>
              <w:rPr>
                <w:rFonts w:hint="eastAsia" w:ascii="Times New Roman" w:hAnsi="Times New Roman" w:eastAsia="仿宋_GB2312"/>
                <w:color w:val="auto"/>
                <w:sz w:val="18"/>
                <w:szCs w:val="18"/>
                <w:lang w:eastAsia="zh-CN" w:bidi="ar"/>
              </w:rPr>
              <w:t>情节轻微并及时改正的</w:t>
            </w:r>
            <w:r>
              <w:rPr>
                <w:rFonts w:ascii="Times New Roman" w:hAnsi="Times New Roman" w:eastAsia="仿宋_GB2312"/>
                <w:color w:val="auto"/>
                <w:sz w:val="18"/>
                <w:szCs w:val="18"/>
                <w:lang w:bidi="ar"/>
              </w:rPr>
              <w:t>。</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820"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未按照规定保管会计资料，致使会计资料毁损、灭失的</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八）未按照规定保管会计资料，致使会计资料毁损、灭失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val="en-US" w:eastAsia="zh-CN" w:bidi="ar"/>
              </w:rPr>
              <w:t>1.</w:t>
            </w:r>
            <w:r>
              <w:rPr>
                <w:rFonts w:ascii="Times New Roman" w:hAnsi="Times New Roman" w:eastAsia="仿宋_GB2312"/>
                <w:color w:val="auto"/>
                <w:sz w:val="18"/>
                <w:szCs w:val="18"/>
                <w:lang w:bidi="ar"/>
              </w:rPr>
              <w:t>初次违反财务会计管理类法律法规，因管理不善，致使少于1个月的会计资料毁损、灭失的；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3.对主要账目影响较小；</w:t>
            </w:r>
          </w:p>
          <w:p>
            <w:pPr>
              <w:widowControl/>
              <w:numPr>
                <w:ilvl w:val="0"/>
                <w:numId w:val="0"/>
              </w:numPr>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val="en-US" w:eastAsia="zh-CN" w:bidi="ar"/>
              </w:rPr>
              <w:t>4.及时改正的。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780"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未按照规定建立并实施单位内部会计监督制度</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九）未按照规定建立并实施单位内部会计监督制度或者拒绝依法实施的监督或者不如实提供有关会计资料及有关情况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1.</w:t>
            </w:r>
            <w:r>
              <w:rPr>
                <w:rFonts w:hint="eastAsia" w:ascii="Times New Roman" w:hAnsi="Times New Roman" w:eastAsia="仿宋_GB2312"/>
                <w:color w:val="auto"/>
                <w:sz w:val="18"/>
                <w:szCs w:val="18"/>
                <w:lang w:eastAsia="zh-CN" w:bidi="ar"/>
              </w:rPr>
              <w:t>首次发现，</w:t>
            </w:r>
            <w:r>
              <w:rPr>
                <w:rFonts w:ascii="Times New Roman" w:hAnsi="Times New Roman" w:eastAsia="仿宋_GB2312"/>
                <w:color w:val="auto"/>
                <w:sz w:val="18"/>
                <w:szCs w:val="18"/>
                <w:lang w:bidi="ar"/>
              </w:rPr>
              <w:t>单位未建立内部会计监督制度或建立的内部会计监督制度不符合要求，但执行了内部会计监督行为的；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3.造成较小的经济损失和不良社会影响</w:t>
            </w:r>
            <w:r>
              <w:rPr>
                <w:rFonts w:hint="eastAsia" w:ascii="Times New Roman" w:hAnsi="Times New Roman" w:eastAsia="仿宋_GB2312"/>
                <w:color w:val="auto"/>
                <w:sz w:val="18"/>
                <w:szCs w:val="18"/>
                <w:lang w:eastAsia="zh-CN" w:bidi="ar"/>
              </w:rPr>
              <w:t>；</w:t>
            </w:r>
          </w:p>
          <w:p>
            <w:pPr>
              <w:widowControl/>
              <w:numPr>
                <w:ilvl w:val="0"/>
                <w:numId w:val="0"/>
              </w:numPr>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val="en-US" w:eastAsia="zh-CN" w:bidi="ar"/>
              </w:rPr>
              <w:t>4.及时改正的。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737"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任用会计人员不符合本法规定的</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十）任用会计人员不符合本法规定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初次违反财务会计管理类法律法规，任用会计人员不符合会计法规定的</w:t>
            </w:r>
            <w:r>
              <w:rPr>
                <w:rFonts w:hint="eastAsia" w:ascii="Times New Roman" w:hAnsi="Times New Roman" w:eastAsia="仿宋_GB2312"/>
                <w:color w:val="auto"/>
                <w:sz w:val="18"/>
                <w:szCs w:val="18"/>
                <w:lang w:eastAsia="zh-CN" w:bidi="ar"/>
              </w:rPr>
              <w:t>，及时改正的。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938"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使用电子计算机进行会计核算的单位，所使用的会计核算软件生成的会计账簿不符合国家统一会计制度的规定的</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w:t>
            </w:r>
            <w:r>
              <w:rPr>
                <w:rFonts w:ascii="Times New Roman" w:hAnsi="Times New Roman" w:eastAsia="仿宋_GB2312"/>
                <w:color w:val="auto"/>
                <w:sz w:val="18"/>
                <w:szCs w:val="18"/>
                <w:lang w:bidi="ar"/>
              </w:rPr>
              <w:t xml:space="preserve"> 违反本办法规定，有下列行为之一，尚不构成犯罪的，由县级以上人民政府财政部门责令限期改正，可以对单位处三千元以上五万元以下的罚款；对其直接负责的主管人员和其他直接责任人员，可以处二千元以上三万元以下的罚款；属于国家工作人员的，还应当由其所在单位或者有关单位依法给予行政处分：（二）使用电子计算机进行会计核算的单位，所使用的会计核算软件生成的会计账簿不符合国家统一会计制度的规定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初次违反，不影响主要账目监督检查的，经责令改正，及时改正的。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981"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委托不具有代理记账资格的机构代理记账的</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w:t>
            </w:r>
            <w:r>
              <w:rPr>
                <w:rFonts w:ascii="Times New Roman" w:hAnsi="Times New Roman" w:eastAsia="仿宋_GB2312"/>
                <w:color w:val="auto"/>
                <w:sz w:val="18"/>
                <w:szCs w:val="18"/>
                <w:lang w:bidi="ar"/>
              </w:rPr>
              <w:t xml:space="preserve"> 违反本办法规定，有下列行为之一，尚不构成犯罪的，由县级以上人民政府财政部门责令限期改正，可以对单位处三千元以上五万元以下的罚款；对其直接负责的主管人员和其他直接责任人员，可以处二千元以上三万元以下的罚款；属于国家工作人员的，还应当由其所在单位或者有关单位依法给予行政处分：（三）委托不具有代理记账资格的机构代理记账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初次违反财务会计管理类法律法规，不影响财政监督检查的，经责令改正，及时改正的。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081"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使用电子计算机进行会计核算的单位，所使用的会计核算软件生成的会计账簿不符合国家统一会计制度的规定的</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二）使用电子计算机进行会计核算的单位，所使用的会计核算软件生成的会计账簿不符合国家统一会计制度的规定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初次违反财务会计管理类法律法规，其他辅助性账簿不符合国家统一会计制度的规定的。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90" w:hRule="atLeast"/>
          <w:jc w:val="center"/>
        </w:trPr>
        <w:tc>
          <w:tcPr>
            <w:tcW w:w="213" w:type="pc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24</w:t>
            </w:r>
          </w:p>
        </w:tc>
        <w:tc>
          <w:tcPr>
            <w:tcW w:w="384" w:type="pc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随意改变财务会计报告的编制基础、编制依据、编制原则和方法的</w:t>
            </w:r>
          </w:p>
        </w:tc>
        <w:tc>
          <w:tcPr>
            <w:tcW w:w="1328" w:type="pc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第三十九条</w:t>
            </w:r>
            <w:r>
              <w:rPr>
                <w:rFonts w:ascii="Times New Roman" w:hAnsi="Times New Roman" w:eastAsia="仿宋_GB2312"/>
                <w:color w:val="auto"/>
                <w:sz w:val="18"/>
                <w:szCs w:val="18"/>
                <w:lang w:bidi="ar"/>
              </w:rPr>
              <w:t xml:space="preserve"> 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二）随意改变财务会计报告的编制基础、编制依据、编制原则和方法的；会计人员有前款所列行为之一，情节严重的，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初次违反财务会计管理类法律法规，不以持续经营为基础编制财务报表时，未在附注中予以披露的，积极改正或者承诺在限定期限内改正。</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854"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25</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提前或者延迟结帐日结帐</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第三十九条</w:t>
            </w:r>
            <w:r>
              <w:rPr>
                <w:rFonts w:ascii="Times New Roman" w:hAnsi="Times New Roman" w:eastAsia="仿宋_GB2312"/>
                <w:color w:val="auto"/>
                <w:sz w:val="18"/>
                <w:szCs w:val="18"/>
                <w:lang w:bidi="ar"/>
              </w:rPr>
              <w:t xml:space="preserve"> 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三）提前或者延迟结帐日结帐；会计人员有前款所列行为之一，情节严重的，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1.提前或者延迟10日以下结账的；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2.该项违法行为的发生涉及1个会计年度以内，且不涉及调节当年损溢的；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3.承诺积极改正；</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以上情形须同时满足。</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573"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26</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在编制年度财务会计报告前，未按照本条例规定全面清查资产、核实债务的</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四）在编制年度财务会计报告前，未按照本条例规定全面清查资产、核实债务的；会计人员有前款所列行为之一，情节严重的，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初次违反财务会计管理类法律法规，未按《企业财务会计报告条例》第二十条规定，在年度中间根据具体情况，对各项财产物资和结算款项进行重点抽查、轮流清查或者定期清查</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，承诺限期改正的。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bl>
    <w:p>
      <w:pPr>
        <w:rPr>
          <w:rFonts w:ascii="Times New Roman" w:hAnsi="Times New Roman"/>
          <w:color w:val="auto"/>
        </w:rPr>
      </w:pPr>
    </w:p>
    <w:sectPr>
      <w:footerReference r:id="rId3" w:type="default"/>
      <w:pgSz w:w="16837" w:h="11905" w:orient="landscape"/>
      <w:pgMar w:top="1134" w:right="1418" w:bottom="669" w:left="1418" w:header="720" w:footer="992" w:gutter="0"/>
      <w:cols w:space="720" w:num="1"/>
      <w:docGrid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4410075</wp:posOffset>
              </wp:positionH>
              <wp:positionV relativeFrom="paragraph">
                <wp:posOffset>0</wp:posOffset>
              </wp:positionV>
              <wp:extent cx="175260" cy="1828800"/>
              <wp:effectExtent l="0" t="0" r="15240" b="0"/>
              <wp:wrapNone/>
              <wp:docPr id="4" name="文本框 4"/>
              <wp:cNvGraphicFramePr/>
              <a:graphic xmlns:a="http://schemas.openxmlformats.org/drawingml/2006/main">
                <a:graphicData uri="http://schemas.microsoft.com/office/word/2010/wordprocessingShape">
                  <wps:wsp>
                    <wps:cNvSpPr txBox="true"/>
                    <wps:spPr>
                      <a:xfrm>
                        <a:off x="0" y="0"/>
                        <a:ext cx="175565"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347.25pt;margin-top:0pt;height:144pt;width:13.8pt;mso-position-horizontal-relative:margin;z-index:251658240;mso-width-relative:page;mso-height-relative:page;" filled="f" stroked="f" coordsize="21600,21600" o:gfxdata="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k9KfLtcAAAAIAQAADwAAAAAAAAABACAAAAA4AAAAZHJzL2Rv&#10;d25yZXYueG1sUEsBAhQAFAAAAAgAh07iQCVC8lUlAgAAKAQAAA4AAAAAAAAAAQAgAAAAPAEAAGRy&#10;cy9lMm9Eb2MueG1sUEsFBgAAAAAGAAYAWQEAAN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7168A"/>
    <w:rsid w:val="0067213B"/>
    <w:rsid w:val="006C37DE"/>
    <w:rsid w:val="00966324"/>
    <w:rsid w:val="00C070BC"/>
    <w:rsid w:val="29EFDB55"/>
    <w:rsid w:val="2F746DDB"/>
    <w:rsid w:val="3A7C9413"/>
    <w:rsid w:val="3BFF836F"/>
    <w:rsid w:val="3D7AE6A7"/>
    <w:rsid w:val="3EDFB056"/>
    <w:rsid w:val="47ED70A3"/>
    <w:rsid w:val="4F7BCAF7"/>
    <w:rsid w:val="56D6C899"/>
    <w:rsid w:val="5FFF2AE7"/>
    <w:rsid w:val="6DFF138F"/>
    <w:rsid w:val="6FFF85BC"/>
    <w:rsid w:val="73FD016A"/>
    <w:rsid w:val="774F9F3F"/>
    <w:rsid w:val="77BEE630"/>
    <w:rsid w:val="77BF8476"/>
    <w:rsid w:val="77CE8EC0"/>
    <w:rsid w:val="7C5C406E"/>
    <w:rsid w:val="7D775959"/>
    <w:rsid w:val="7FBFFA5E"/>
    <w:rsid w:val="7FEF058B"/>
    <w:rsid w:val="7FEF3C1F"/>
    <w:rsid w:val="7FFFCB4A"/>
    <w:rsid w:val="97ACD24A"/>
    <w:rsid w:val="9F4F6B08"/>
    <w:rsid w:val="9FF74742"/>
    <w:rsid w:val="B7C39841"/>
    <w:rsid w:val="BBAE0FC3"/>
    <w:rsid w:val="BDCDE46E"/>
    <w:rsid w:val="BDE742E6"/>
    <w:rsid w:val="BDF38BD6"/>
    <w:rsid w:val="D9ECA124"/>
    <w:rsid w:val="DEF71E28"/>
    <w:rsid w:val="DF0DF304"/>
    <w:rsid w:val="E60F9D03"/>
    <w:rsid w:val="ECF5CA4E"/>
    <w:rsid w:val="EDEF13CD"/>
    <w:rsid w:val="EEDC81E1"/>
    <w:rsid w:val="F7BFB5E6"/>
    <w:rsid w:val="F96FADC3"/>
    <w:rsid w:val="FA381B43"/>
    <w:rsid w:val="FB3F7581"/>
    <w:rsid w:val="FE6F1D6B"/>
    <w:rsid w:val="FEF81F24"/>
    <w:rsid w:val="FF5B9A17"/>
    <w:rsid w:val="FF7D4DA2"/>
    <w:rsid w:val="FF8F2A55"/>
    <w:rsid w:val="FFF7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7">
    <w:name w:val="font31"/>
    <w:qFormat/>
    <w:uiPriority w:val="0"/>
    <w:rPr>
      <w:rFonts w:hint="eastAsia" w:ascii="仿宋_GB2312" w:eastAsia="仿宋_GB2312" w:cs="仿宋_GB2312"/>
      <w:color w:val="000000"/>
      <w:sz w:val="18"/>
      <w:szCs w:val="18"/>
      <w:u w:val="none"/>
    </w:rPr>
  </w:style>
  <w:style w:type="character" w:customStyle="1" w:styleId="8">
    <w:name w:val="font61"/>
    <w:qFormat/>
    <w:uiPriority w:val="0"/>
    <w:rPr>
      <w:rFonts w:hint="eastAsia" w:ascii="仿宋_GB2312" w:eastAsia="仿宋_GB2312" w:cs="仿宋_GB2312"/>
      <w:b/>
      <w:color w:val="000000"/>
      <w:sz w:val="18"/>
      <w:szCs w:val="18"/>
      <w:u w:val="none"/>
    </w:rPr>
  </w:style>
  <w:style w:type="character" w:customStyle="1" w:styleId="9">
    <w:name w:val="font51"/>
    <w:qFormat/>
    <w:uiPriority w:val="0"/>
    <w:rPr>
      <w:rFonts w:hint="eastAsia" w:ascii="仿宋_GB2312" w:eastAsia="仿宋_GB2312" w:cs="仿宋_GB2312"/>
      <w:color w:val="000000"/>
      <w:sz w:val="18"/>
      <w:szCs w:val="18"/>
      <w:u w:val="none"/>
    </w:rPr>
  </w:style>
  <w:style w:type="character" w:customStyle="1" w:styleId="10">
    <w:name w:val="font0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25817</Words>
  <Characters>147158</Characters>
  <Lines>1226</Lines>
  <Paragraphs>345</Paragraphs>
  <TotalTime>12</TotalTime>
  <ScaleCrop>false</ScaleCrop>
  <LinksUpToDate>false</LinksUpToDate>
  <CharactersWithSpaces>172630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2023-01-09T01:07:00Z</dcterms:created>
  <dc:creator>greatwall</dc:creator>
  <cp:lastModifiedBy>greatwall</cp:lastModifiedBy>
  <cp:lastPrinted>2023-01-16T02:49:00Z</cp:lastPrinted>
  <dcterms:modified xsi:type="dcterms:W3CDTF">2023-09-13T16:11:28Z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