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40" w:lineRule="exact"/>
        <w:ind w:left="0" w:leftChars="0" w:right="0" w:firstLine="0" w:firstLineChars="0"/>
        <w:jc w:val="center"/>
        <w:textAlignment w:val="auto"/>
        <w:outlineLvl w:val="9"/>
        <w:rPr>
          <w:rFonts w:hint="default" w:ascii="Times New Roman" w:hAnsi="Times New Roman" w:cs="Times New Roman"/>
          <w:spacing w:val="0"/>
          <w:highlight w:val="none"/>
        </w:rPr>
      </w:pPr>
      <w:r>
        <w:rPr>
          <w:rFonts w:hint="eastAsia" w:ascii="方正小标宋简体" w:hAnsi="方正小标宋简体" w:eastAsia="方正小标宋简体" w:cs="方正小标宋简体"/>
          <w:b w:val="0"/>
          <w:bCs w:val="0"/>
          <w:i w:val="0"/>
          <w:iCs w:val="0"/>
          <w:caps w:val="0"/>
          <w:color w:val="auto"/>
          <w:spacing w:val="0"/>
          <w:position w:val="0"/>
          <w:sz w:val="44"/>
          <w:szCs w:val="44"/>
          <w:highlight w:val="none"/>
          <w:shd w:val="clear" w:color="auto" w:fill="auto"/>
          <w:lang w:eastAsia="zh-CN"/>
        </w:rPr>
        <w:t>湘西州</w:t>
      </w:r>
      <w:r>
        <w:rPr>
          <w:rFonts w:hint="eastAsia" w:ascii="方正小标宋简体" w:hAnsi="方正小标宋简体" w:eastAsia="方正小标宋简体" w:cs="方正小标宋简体"/>
          <w:b w:val="0"/>
          <w:bCs w:val="0"/>
          <w:i w:val="0"/>
          <w:iCs w:val="0"/>
          <w:caps w:val="0"/>
          <w:color w:val="auto"/>
          <w:spacing w:val="0"/>
          <w:position w:val="0"/>
          <w:sz w:val="44"/>
          <w:szCs w:val="44"/>
          <w:highlight w:val="none"/>
          <w:shd w:val="clear" w:color="auto" w:fill="auto"/>
        </w:rPr>
        <w:t>202</w:t>
      </w:r>
      <w:r>
        <w:rPr>
          <w:rFonts w:hint="eastAsia" w:ascii="方正小标宋简体" w:hAnsi="方正小标宋简体" w:eastAsia="方正小标宋简体" w:cs="方正小标宋简体"/>
          <w:b w:val="0"/>
          <w:bCs w:val="0"/>
          <w:i w:val="0"/>
          <w:iCs w:val="0"/>
          <w:caps w:val="0"/>
          <w:color w:val="auto"/>
          <w:spacing w:val="0"/>
          <w:position w:val="0"/>
          <w:sz w:val="44"/>
          <w:szCs w:val="44"/>
          <w:highlight w:val="none"/>
          <w:shd w:val="clear" w:color="auto" w:fill="auto"/>
          <w:lang w:val="en-US" w:eastAsia="zh-CN"/>
        </w:rPr>
        <w:t>5</w:t>
      </w:r>
      <w:r>
        <w:rPr>
          <w:rFonts w:hint="eastAsia" w:ascii="方正小标宋简体" w:hAnsi="方正小标宋简体" w:eastAsia="方正小标宋简体" w:cs="方正小标宋简体"/>
          <w:b w:val="0"/>
          <w:bCs w:val="0"/>
          <w:i w:val="0"/>
          <w:iCs w:val="0"/>
          <w:caps w:val="0"/>
          <w:color w:val="auto"/>
          <w:spacing w:val="0"/>
          <w:position w:val="0"/>
          <w:sz w:val="44"/>
          <w:szCs w:val="44"/>
          <w:highlight w:val="none"/>
          <w:shd w:val="clear" w:color="auto" w:fill="auto"/>
        </w:rPr>
        <w:t>年预算草案</w:t>
      </w:r>
      <w:bookmarkStart w:id="0" w:name="_GoBack"/>
      <w:bookmarkEnd w:id="0"/>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default" w:ascii="Times New Roman" w:hAnsi="Times New Roman" w:eastAsia="黑体" w:cs="Times New Roman"/>
          <w:b w:val="0"/>
          <w:bCs w:val="0"/>
          <w:i w:val="0"/>
          <w:iCs w:val="0"/>
          <w:caps w:val="0"/>
          <w:color w:val="auto"/>
          <w:spacing w:val="11"/>
          <w:kern w:val="2"/>
          <w:position w:val="0"/>
          <w:sz w:val="36"/>
          <w:szCs w:val="36"/>
          <w:highlight w:val="none"/>
          <w:shd w:val="clear" w:fill="FFFFFF"/>
          <w:lang w:val="en-US" w:eastAsia="zh-CN" w:bidi="ar-SA"/>
        </w:rPr>
      </w:pP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default" w:ascii="Times New Roman" w:hAnsi="Times New Roman" w:eastAsia="黑体" w:cs="Times New Roman"/>
          <w:b w:val="0"/>
          <w:bCs w:val="0"/>
          <w:i w:val="0"/>
          <w:iCs w:val="0"/>
          <w:caps w:val="0"/>
          <w:color w:val="auto"/>
          <w:spacing w:val="11"/>
          <w:position w:val="0"/>
          <w:sz w:val="36"/>
          <w:szCs w:val="36"/>
          <w:highlight w:val="none"/>
          <w:shd w:val="clear" w:fill="FFFFFF"/>
          <w:lang w:val="en-US" w:eastAsia="zh-CN"/>
        </w:rPr>
      </w:pPr>
      <w:r>
        <w:rPr>
          <w:rFonts w:hint="default" w:ascii="Times New Roman" w:hAnsi="Times New Roman" w:eastAsia="黑体" w:cs="Times New Roman"/>
          <w:b w:val="0"/>
          <w:bCs w:val="0"/>
          <w:i w:val="0"/>
          <w:iCs w:val="0"/>
          <w:caps w:val="0"/>
          <w:color w:val="auto"/>
          <w:spacing w:val="11"/>
          <w:kern w:val="2"/>
          <w:position w:val="0"/>
          <w:sz w:val="36"/>
          <w:szCs w:val="36"/>
          <w:highlight w:val="none"/>
          <w:shd w:val="clear" w:fill="FFFFFF"/>
          <w:lang w:val="en-US" w:eastAsia="zh-CN" w:bidi="ar-SA"/>
        </w:rPr>
        <w:t>一、</w:t>
      </w:r>
      <w:r>
        <w:rPr>
          <w:rFonts w:hint="default" w:ascii="Times New Roman" w:hAnsi="Times New Roman" w:eastAsia="黑体" w:cs="Times New Roman"/>
          <w:b w:val="0"/>
          <w:bCs w:val="0"/>
          <w:i w:val="0"/>
          <w:iCs w:val="0"/>
          <w:caps w:val="0"/>
          <w:color w:val="auto"/>
          <w:spacing w:val="11"/>
          <w:position w:val="0"/>
          <w:sz w:val="36"/>
          <w:szCs w:val="36"/>
          <w:highlight w:val="none"/>
          <w:shd w:val="clear" w:fill="FFFFFF"/>
          <w:lang w:val="en-US" w:eastAsia="zh-CN"/>
        </w:rPr>
        <w:t>财政收支形势分析</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default" w:ascii="Times New Roman" w:hAnsi="Times New Roman" w:eastAsia="仿宋_GB2312" w:cs="Times New Roman"/>
          <w:color w:val="auto"/>
          <w:spacing w:val="11"/>
          <w:position w:val="0"/>
          <w:sz w:val="36"/>
          <w:szCs w:val="36"/>
          <w:highlight w:val="none"/>
        </w:rPr>
      </w:pPr>
      <w:r>
        <w:rPr>
          <w:rFonts w:hint="default" w:ascii="Times New Roman" w:hAnsi="Times New Roman" w:eastAsia="仿宋_GB2312" w:cs="Times New Roman"/>
          <w:color w:val="auto"/>
          <w:spacing w:val="11"/>
          <w:kern w:val="2"/>
          <w:sz w:val="36"/>
          <w:szCs w:val="36"/>
          <w:highlight w:val="none"/>
          <w:lang w:val="en-US" w:eastAsia="zh-CN" w:bidi="ar-SA"/>
        </w:rPr>
        <w:t>目前</w:t>
      </w:r>
      <w:r>
        <w:rPr>
          <w:rFonts w:hint="default" w:ascii="Times New Roman" w:hAnsi="Times New Roman" w:eastAsia="仿宋_GB2312" w:cs="Times New Roman"/>
          <w:color w:val="auto"/>
          <w:spacing w:val="11"/>
          <w:kern w:val="2"/>
          <w:sz w:val="36"/>
          <w:szCs w:val="36"/>
          <w:highlight w:val="none"/>
          <w:lang w:eastAsia="zh-CN" w:bidi="ar-SA"/>
        </w:rPr>
        <w:t>，</w:t>
      </w:r>
      <w:r>
        <w:rPr>
          <w:rFonts w:hint="default" w:ascii="Times New Roman" w:hAnsi="Times New Roman" w:eastAsia="仿宋_GB2312" w:cs="Times New Roman"/>
          <w:color w:val="auto"/>
          <w:spacing w:val="11"/>
          <w:kern w:val="2"/>
          <w:sz w:val="36"/>
          <w:szCs w:val="36"/>
          <w:highlight w:val="none"/>
          <w:lang w:val="en-US" w:eastAsia="zh-CN" w:bidi="ar-SA"/>
        </w:rPr>
        <w:t>我州经济正处在结构调整转型的关键阶段，周期性矛盾和结构性矛盾相互交织，</w:t>
      </w:r>
      <w:r>
        <w:rPr>
          <w:rFonts w:hint="default" w:ascii="Times New Roman" w:hAnsi="Times New Roman" w:eastAsia="仿宋_GB2312" w:cs="Times New Roman"/>
          <w:color w:val="auto"/>
          <w:spacing w:val="11"/>
          <w:kern w:val="2"/>
          <w:sz w:val="36"/>
          <w:szCs w:val="36"/>
          <w:highlight w:val="none"/>
          <w:lang w:eastAsia="zh-CN" w:bidi="ar-SA"/>
        </w:rPr>
        <w:t>新兴产业还没有形成有力的拉动作用，全州经济运行仍面临不小的压力</w:t>
      </w:r>
      <w:r>
        <w:rPr>
          <w:rFonts w:hint="default" w:ascii="Times New Roman" w:hAnsi="Times New Roman" w:eastAsia="仿宋_GB2312" w:cs="Times New Roman"/>
          <w:color w:val="auto"/>
          <w:spacing w:val="11"/>
          <w:position w:val="0"/>
          <w:sz w:val="36"/>
          <w:szCs w:val="36"/>
          <w:highlight w:val="none"/>
        </w:rPr>
        <w:t>。</w:t>
      </w:r>
      <w:r>
        <w:rPr>
          <w:rFonts w:hint="default" w:ascii="Times New Roman" w:hAnsi="Times New Roman" w:eastAsia="仿宋_GB2312" w:cs="Times New Roman"/>
          <w:color w:val="auto"/>
          <w:spacing w:val="11"/>
          <w:position w:val="0"/>
          <w:sz w:val="36"/>
          <w:szCs w:val="36"/>
          <w:highlight w:val="none"/>
          <w:lang w:eastAsia="zh-CN"/>
        </w:rPr>
        <w:t>另一方面</w:t>
      </w:r>
      <w:r>
        <w:rPr>
          <w:rFonts w:hint="default" w:ascii="Times New Roman" w:hAnsi="Times New Roman" w:eastAsia="仿宋_GB2312" w:cs="Times New Roman"/>
          <w:color w:val="auto"/>
          <w:spacing w:val="11"/>
          <w:position w:val="0"/>
          <w:sz w:val="36"/>
          <w:szCs w:val="36"/>
          <w:highlight w:val="none"/>
        </w:rPr>
        <w:t>，</w:t>
      </w:r>
      <w:r>
        <w:rPr>
          <w:rFonts w:hint="default" w:ascii="Times New Roman" w:hAnsi="Times New Roman" w:eastAsia="仿宋_GB2312" w:cs="Times New Roman"/>
          <w:snapToGrid/>
          <w:color w:val="000000"/>
          <w:spacing w:val="11"/>
          <w:kern w:val="0"/>
          <w:sz w:val="36"/>
          <w:szCs w:val="36"/>
          <w:highlight w:val="none"/>
          <w:lang w:val="en-US" w:eastAsia="zh-CN" w:bidi="ar"/>
        </w:rPr>
        <w:t>党的二十届三中全会和中央经济工作会议部署的多项重大改革举措正在加快落地，一揽子增量政策推动经济持续回升向好。</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7" w:firstLineChars="200"/>
        <w:jc w:val="both"/>
        <w:textAlignment w:val="auto"/>
        <w:outlineLvl w:val="9"/>
        <w:rPr>
          <w:rFonts w:hint="default" w:ascii="Times New Roman" w:hAnsi="Times New Roman" w:eastAsia="仿宋_GB2312" w:cs="Times New Roman"/>
          <w:color w:val="auto"/>
          <w:spacing w:val="11"/>
          <w:position w:val="0"/>
          <w:sz w:val="36"/>
          <w:szCs w:val="36"/>
          <w:highlight w:val="none"/>
        </w:rPr>
      </w:pPr>
      <w:r>
        <w:rPr>
          <w:rFonts w:hint="default" w:ascii="Times New Roman" w:hAnsi="Times New Roman" w:eastAsia="楷体_GB2312" w:cs="Times New Roman"/>
          <w:b/>
          <w:bCs/>
          <w:i w:val="0"/>
          <w:iCs w:val="0"/>
          <w:caps w:val="0"/>
          <w:color w:val="auto"/>
          <w:spacing w:val="11"/>
          <w:position w:val="0"/>
          <w:sz w:val="36"/>
          <w:szCs w:val="36"/>
          <w:highlight w:val="none"/>
          <w:shd w:val="clear" w:fill="FFFFFF"/>
          <w:lang w:val="en-US" w:eastAsia="zh-CN"/>
        </w:rPr>
        <w:t>从财政收入看。</w:t>
      </w:r>
      <w:r>
        <w:rPr>
          <w:rFonts w:hint="default" w:ascii="Times New Roman" w:hAnsi="Times New Roman" w:eastAsia="仿宋_GB2312" w:cs="Times New Roman"/>
          <w:snapToGrid/>
          <w:color w:val="000000"/>
          <w:spacing w:val="11"/>
          <w:kern w:val="0"/>
          <w:sz w:val="36"/>
          <w:szCs w:val="36"/>
          <w:highlight w:val="none"/>
          <w:lang w:val="en-US" w:eastAsia="zh-CN" w:bidi="ar"/>
        </w:rPr>
        <w:t>更加积极的财政政策将更为有力，经济发展新动能培育和旧动能更新将会进一步加快。新一轮财税体制改革，将进一步拓展地方税源，增加自主财力。受宏观政策影响，我州烟、酒、矿和房地产等重点税源行业整体预期向好，专项债券用于土地储备等将在</w:t>
      </w:r>
      <w:r>
        <w:rPr>
          <w:rFonts w:hint="eastAsia" w:ascii="Times New Roman" w:hAnsi="Times New Roman" w:eastAsia="仿宋_GB2312" w:cs="Times New Roman"/>
          <w:snapToGrid/>
          <w:color w:val="000000"/>
          <w:spacing w:val="11"/>
          <w:kern w:val="0"/>
          <w:sz w:val="36"/>
          <w:szCs w:val="36"/>
          <w:highlight w:val="none"/>
          <w:lang w:val="en-US" w:eastAsia="zh-CN" w:bidi="ar"/>
        </w:rPr>
        <w:t>政府性基金</w:t>
      </w:r>
      <w:r>
        <w:rPr>
          <w:rFonts w:hint="default" w:ascii="Times New Roman" w:hAnsi="Times New Roman" w:eastAsia="仿宋_GB2312" w:cs="Times New Roman"/>
          <w:snapToGrid/>
          <w:color w:val="000000"/>
          <w:spacing w:val="11"/>
          <w:kern w:val="0"/>
          <w:sz w:val="36"/>
          <w:szCs w:val="36"/>
          <w:highlight w:val="none"/>
          <w:lang w:val="en-US" w:eastAsia="zh-CN" w:bidi="ar"/>
        </w:rPr>
        <w:t>收入上形成一定增量</w:t>
      </w:r>
      <w:r>
        <w:rPr>
          <w:rFonts w:hint="default" w:ascii="Times New Roman" w:hAnsi="Times New Roman" w:eastAsia="仿宋_GB2312" w:cs="Times New Roman"/>
          <w:color w:val="auto"/>
          <w:spacing w:val="11"/>
          <w:position w:val="0"/>
          <w:sz w:val="36"/>
          <w:szCs w:val="36"/>
          <w:highlight w:val="none"/>
        </w:rPr>
        <w:t>。</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7" w:firstLineChars="200"/>
        <w:jc w:val="both"/>
        <w:textAlignment w:val="auto"/>
        <w:outlineLvl w:val="9"/>
        <w:rPr>
          <w:rFonts w:hint="default" w:ascii="Times New Roman" w:hAnsi="Times New Roman" w:eastAsia="仿宋_GB2312" w:cs="Times New Roman"/>
          <w:color w:val="auto"/>
          <w:spacing w:val="11"/>
          <w:position w:val="0"/>
          <w:sz w:val="36"/>
          <w:szCs w:val="36"/>
          <w:highlight w:val="none"/>
        </w:rPr>
      </w:pPr>
      <w:r>
        <w:rPr>
          <w:rFonts w:hint="default" w:ascii="Times New Roman" w:hAnsi="Times New Roman" w:eastAsia="楷体_GB2312" w:cs="Times New Roman"/>
          <w:b/>
          <w:bCs/>
          <w:i w:val="0"/>
          <w:iCs w:val="0"/>
          <w:caps w:val="0"/>
          <w:color w:val="auto"/>
          <w:spacing w:val="11"/>
          <w:position w:val="0"/>
          <w:sz w:val="36"/>
          <w:szCs w:val="36"/>
          <w:highlight w:val="none"/>
          <w:shd w:val="clear" w:fill="FFFFFF"/>
          <w:lang w:val="en-US" w:eastAsia="zh-CN"/>
        </w:rPr>
        <w:t>从财政支出看。</w:t>
      </w:r>
      <w:r>
        <w:rPr>
          <w:rFonts w:hint="default" w:ascii="Times New Roman" w:hAnsi="Times New Roman" w:eastAsia="仿宋_GB2312" w:cs="Times New Roman"/>
          <w:snapToGrid/>
          <w:color w:val="000000"/>
          <w:spacing w:val="11"/>
          <w:kern w:val="0"/>
          <w:sz w:val="36"/>
          <w:szCs w:val="36"/>
          <w:highlight w:val="none"/>
          <w:lang w:val="en-US" w:eastAsia="zh-CN" w:bidi="ar"/>
        </w:rPr>
        <w:t>中央提高财政赤字率、增加发行超长期特别国债和继续实施置换存量债务政策，将释放出更多地方财力用于经济社会发展。</w:t>
      </w:r>
      <w:r>
        <w:rPr>
          <w:rFonts w:hint="eastAsia" w:ascii="仿宋_GB2312" w:hAnsi="仿宋_GB2312" w:eastAsia="仿宋_GB2312" w:cs="仿宋_GB2312"/>
          <w:snapToGrid/>
          <w:color w:val="000000"/>
          <w:spacing w:val="11"/>
          <w:kern w:val="0"/>
          <w:sz w:val="36"/>
          <w:szCs w:val="36"/>
          <w:highlight w:val="none"/>
          <w:lang w:val="en-US" w:eastAsia="zh-CN" w:bidi="ar"/>
        </w:rPr>
        <w:t>同时，</w:t>
      </w:r>
      <w:r>
        <w:rPr>
          <w:rFonts w:hint="eastAsia" w:ascii="仿宋_GB2312" w:hAnsi="仿宋_GB2312" w:eastAsia="仿宋_GB2312" w:cs="仿宋_GB2312"/>
          <w:color w:val="auto"/>
          <w:spacing w:val="11"/>
          <w:position w:val="0"/>
          <w:sz w:val="36"/>
          <w:szCs w:val="36"/>
          <w:highlight w:val="none"/>
        </w:rPr>
        <w:t>“三保”支出、债务还本付息</w:t>
      </w:r>
      <w:r>
        <w:rPr>
          <w:rFonts w:hint="eastAsia" w:ascii="仿宋_GB2312" w:hAnsi="仿宋_GB2312" w:eastAsia="仿宋_GB2312" w:cs="仿宋_GB2312"/>
          <w:color w:val="auto"/>
          <w:spacing w:val="11"/>
          <w:position w:val="0"/>
          <w:sz w:val="36"/>
          <w:szCs w:val="36"/>
          <w:highlight w:val="none"/>
          <w:lang w:eastAsia="zh-CN"/>
        </w:rPr>
        <w:t>以及一些重大</w:t>
      </w:r>
      <w:r>
        <w:rPr>
          <w:rFonts w:hint="eastAsia" w:ascii="仿宋_GB2312" w:hAnsi="仿宋_GB2312" w:eastAsia="仿宋_GB2312" w:cs="仿宋_GB2312"/>
          <w:color w:val="auto"/>
          <w:spacing w:val="11"/>
          <w:position w:val="0"/>
          <w:sz w:val="36"/>
          <w:szCs w:val="36"/>
          <w:highlight w:val="none"/>
        </w:rPr>
        <w:t>项目开工</w:t>
      </w:r>
      <w:r>
        <w:rPr>
          <w:rFonts w:hint="eastAsia" w:ascii="仿宋_GB2312" w:hAnsi="仿宋_GB2312" w:eastAsia="仿宋_GB2312" w:cs="仿宋_GB2312"/>
          <w:color w:val="auto"/>
          <w:spacing w:val="11"/>
          <w:position w:val="0"/>
          <w:sz w:val="36"/>
          <w:szCs w:val="36"/>
          <w:highlight w:val="none"/>
          <w:lang w:eastAsia="zh-CN"/>
        </w:rPr>
        <w:t>建设</w:t>
      </w:r>
      <w:r>
        <w:rPr>
          <w:rFonts w:hint="eastAsia" w:ascii="仿宋_GB2312" w:hAnsi="仿宋_GB2312" w:eastAsia="仿宋_GB2312" w:cs="仿宋_GB2312"/>
          <w:color w:val="auto"/>
          <w:spacing w:val="11"/>
          <w:position w:val="0"/>
          <w:sz w:val="36"/>
          <w:szCs w:val="36"/>
          <w:highlight w:val="none"/>
        </w:rPr>
        <w:t>，</w:t>
      </w:r>
      <w:r>
        <w:rPr>
          <w:rFonts w:hint="eastAsia" w:ascii="仿宋_GB2312" w:hAnsi="仿宋_GB2312" w:eastAsia="仿宋_GB2312" w:cs="仿宋_GB2312"/>
          <w:color w:val="auto"/>
          <w:spacing w:val="11"/>
          <w:position w:val="0"/>
          <w:sz w:val="36"/>
          <w:szCs w:val="36"/>
          <w:highlight w:val="none"/>
          <w:lang w:eastAsia="zh-CN"/>
        </w:rPr>
        <w:t>全州财政</w:t>
      </w:r>
      <w:r>
        <w:rPr>
          <w:rFonts w:hint="eastAsia" w:ascii="仿宋_GB2312" w:hAnsi="仿宋_GB2312" w:eastAsia="仿宋_GB2312" w:cs="仿宋_GB2312"/>
          <w:color w:val="auto"/>
          <w:spacing w:val="11"/>
          <w:position w:val="0"/>
          <w:sz w:val="36"/>
          <w:szCs w:val="36"/>
          <w:highlight w:val="none"/>
        </w:rPr>
        <w:t>支出</w:t>
      </w:r>
      <w:r>
        <w:rPr>
          <w:rFonts w:hint="eastAsia" w:ascii="仿宋_GB2312" w:hAnsi="仿宋_GB2312" w:eastAsia="仿宋_GB2312" w:cs="仿宋_GB2312"/>
          <w:color w:val="auto"/>
          <w:spacing w:val="11"/>
          <w:position w:val="0"/>
          <w:sz w:val="36"/>
          <w:szCs w:val="36"/>
          <w:highlight w:val="none"/>
          <w:lang w:eastAsia="zh-CN"/>
        </w:rPr>
        <w:t>压力总体上还在不断增加，财政运行</w:t>
      </w:r>
      <w:r>
        <w:rPr>
          <w:rFonts w:hint="eastAsia" w:ascii="仿宋_GB2312" w:hAnsi="仿宋_GB2312" w:eastAsia="仿宋_GB2312" w:cs="仿宋_GB2312"/>
          <w:color w:val="auto"/>
          <w:spacing w:val="11"/>
          <w:position w:val="0"/>
          <w:sz w:val="36"/>
          <w:szCs w:val="36"/>
          <w:highlight w:val="none"/>
        </w:rPr>
        <w:t>仍将处于“紧平衡”状态。</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default" w:ascii="Times New Roman" w:hAnsi="Times New Roman" w:eastAsia="黑体" w:cs="Times New Roman"/>
          <w:b w:val="0"/>
          <w:bCs w:val="0"/>
          <w:i w:val="0"/>
          <w:iCs w:val="0"/>
          <w:caps w:val="0"/>
          <w:color w:val="auto"/>
          <w:spacing w:val="11"/>
          <w:position w:val="0"/>
          <w:sz w:val="36"/>
          <w:szCs w:val="36"/>
          <w:highlight w:val="none"/>
          <w:shd w:val="clear" w:fill="FFFFFF"/>
          <w:lang w:val="en-US" w:eastAsia="zh-CN"/>
        </w:rPr>
      </w:pPr>
      <w:r>
        <w:rPr>
          <w:rFonts w:hint="default" w:ascii="Times New Roman" w:hAnsi="Times New Roman" w:eastAsia="黑体" w:cs="Times New Roman"/>
          <w:b w:val="0"/>
          <w:bCs w:val="0"/>
          <w:i w:val="0"/>
          <w:iCs w:val="0"/>
          <w:caps w:val="0"/>
          <w:color w:val="auto"/>
          <w:spacing w:val="11"/>
          <w:position w:val="0"/>
          <w:sz w:val="36"/>
          <w:szCs w:val="36"/>
          <w:highlight w:val="none"/>
          <w:shd w:val="clear" w:fill="FFFFFF"/>
          <w:lang w:val="en-US" w:eastAsia="zh-CN"/>
        </w:rPr>
        <w:t>二、总体要求</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default" w:ascii="Times New Roman" w:hAnsi="Times New Roman" w:eastAsia="仿宋_GB2312" w:cs="Times New Roman"/>
          <w:color w:val="auto"/>
          <w:spacing w:val="11"/>
          <w:kern w:val="2"/>
          <w:sz w:val="36"/>
          <w:szCs w:val="36"/>
          <w:highlight w:val="none"/>
          <w:lang w:val="en-US" w:eastAsia="zh-CN"/>
        </w:rPr>
      </w:pPr>
      <w:r>
        <w:rPr>
          <w:rFonts w:hint="default" w:ascii="Times New Roman" w:hAnsi="Times New Roman" w:eastAsia="仿宋_GB2312" w:cs="Times New Roman"/>
          <w:color w:val="auto"/>
          <w:spacing w:val="11"/>
          <w:kern w:val="2"/>
          <w:sz w:val="36"/>
          <w:szCs w:val="36"/>
          <w:highlight w:val="none"/>
          <w:lang w:val="en-US" w:eastAsia="zh-CN"/>
        </w:rPr>
        <w:t>坚持以习近平新时代中国特色社会主义思想为指导，全面贯彻落实党的二十大和二十届二中、三中全会精神</w:t>
      </w:r>
      <w:r>
        <w:rPr>
          <w:rFonts w:hint="eastAsia" w:ascii="Times New Roman" w:hAnsi="Times New Roman" w:eastAsia="仿宋_GB2312" w:cs="Times New Roman"/>
          <w:color w:val="auto"/>
          <w:spacing w:val="11"/>
          <w:kern w:val="2"/>
          <w:sz w:val="36"/>
          <w:szCs w:val="36"/>
          <w:highlight w:val="none"/>
          <w:lang w:val="en-US" w:eastAsia="zh-CN"/>
        </w:rPr>
        <w:t>及</w:t>
      </w:r>
      <w:r>
        <w:rPr>
          <w:rFonts w:hint="default" w:ascii="Times New Roman" w:hAnsi="Times New Roman" w:eastAsia="仿宋_GB2312" w:cs="Times New Roman"/>
          <w:color w:val="auto"/>
          <w:spacing w:val="11"/>
          <w:kern w:val="2"/>
          <w:sz w:val="36"/>
          <w:szCs w:val="36"/>
          <w:highlight w:val="none"/>
          <w:lang w:val="en-US" w:eastAsia="zh-CN"/>
        </w:rPr>
        <w:t>中央经济工作会议</w:t>
      </w:r>
      <w:r>
        <w:rPr>
          <w:rFonts w:hint="eastAsia" w:ascii="Times New Roman" w:hAnsi="Times New Roman" w:eastAsia="仿宋_GB2312" w:cs="Times New Roman"/>
          <w:color w:val="auto"/>
          <w:spacing w:val="11"/>
          <w:kern w:val="2"/>
          <w:sz w:val="36"/>
          <w:szCs w:val="36"/>
          <w:highlight w:val="none"/>
          <w:lang w:val="en-US" w:eastAsia="zh-CN"/>
        </w:rPr>
        <w:t>精神，深入落实习近平总书记关于湖南工作的重要讲话和指示批示精神，贯彻落实全国财政工作会议、省委十二届八次全会和州委十二届九次全会精神，</w:t>
      </w:r>
      <w:r>
        <w:rPr>
          <w:rFonts w:hint="default" w:ascii="Times New Roman" w:hAnsi="Times New Roman" w:eastAsia="仿宋_GB2312" w:cs="Times New Roman"/>
          <w:color w:val="auto"/>
          <w:spacing w:val="11"/>
          <w:kern w:val="2"/>
          <w:sz w:val="36"/>
          <w:szCs w:val="36"/>
          <w:highlight w:val="none"/>
          <w:lang w:val="en-US" w:eastAsia="zh-CN"/>
        </w:rPr>
        <w:t>准确把握总体要求、政策取向和重点任务，</w:t>
      </w:r>
      <w:r>
        <w:rPr>
          <w:rFonts w:hint="eastAsia" w:ascii="Times New Roman" w:hAnsi="Times New Roman" w:eastAsia="仿宋_GB2312" w:cs="Times New Roman"/>
          <w:color w:val="auto"/>
          <w:spacing w:val="11"/>
          <w:kern w:val="2"/>
          <w:sz w:val="36"/>
          <w:szCs w:val="36"/>
          <w:highlight w:val="none"/>
          <w:lang w:val="en-US" w:eastAsia="zh-CN"/>
        </w:rPr>
        <w:t>坚持</w:t>
      </w:r>
      <w:r>
        <w:rPr>
          <w:rFonts w:hint="default" w:ascii="Times New Roman" w:hAnsi="Times New Roman" w:eastAsia="仿宋_GB2312" w:cs="Times New Roman"/>
          <w:color w:val="auto"/>
          <w:spacing w:val="11"/>
          <w:kern w:val="2"/>
          <w:sz w:val="36"/>
          <w:szCs w:val="36"/>
          <w:highlight w:val="none"/>
          <w:lang w:val="en-US" w:eastAsia="zh-CN"/>
        </w:rPr>
        <w:t>稳中求进</w:t>
      </w:r>
      <w:r>
        <w:rPr>
          <w:rFonts w:hint="eastAsia" w:ascii="Times New Roman" w:hAnsi="Times New Roman" w:eastAsia="仿宋_GB2312" w:cs="Times New Roman"/>
          <w:color w:val="auto"/>
          <w:spacing w:val="11"/>
          <w:kern w:val="2"/>
          <w:sz w:val="36"/>
          <w:szCs w:val="36"/>
          <w:highlight w:val="none"/>
          <w:lang w:val="en-US" w:eastAsia="zh-CN"/>
        </w:rPr>
        <w:t>的工作总基调</w:t>
      </w:r>
      <w:r>
        <w:rPr>
          <w:rFonts w:hint="default" w:ascii="Times New Roman" w:hAnsi="Times New Roman" w:eastAsia="仿宋_GB2312" w:cs="Times New Roman"/>
          <w:color w:val="auto"/>
          <w:spacing w:val="11"/>
          <w:kern w:val="2"/>
          <w:sz w:val="36"/>
          <w:szCs w:val="36"/>
          <w:highlight w:val="none"/>
          <w:lang w:val="en-US" w:eastAsia="zh-CN"/>
        </w:rPr>
        <w:t>，实施更加积极的财政政策，强化财政资源和预算统筹，深化财税体制改革，</w:t>
      </w:r>
      <w:r>
        <w:rPr>
          <w:rFonts w:hint="eastAsia" w:ascii="Times New Roman" w:hAnsi="Times New Roman" w:eastAsia="仿宋_GB2312" w:cs="Times New Roman"/>
          <w:color w:val="auto"/>
          <w:spacing w:val="11"/>
          <w:kern w:val="2"/>
          <w:sz w:val="36"/>
          <w:szCs w:val="36"/>
          <w:highlight w:val="none"/>
          <w:lang w:val="en-US" w:eastAsia="zh-CN"/>
        </w:rPr>
        <w:t>推进</w:t>
      </w:r>
      <w:r>
        <w:rPr>
          <w:rFonts w:hint="default" w:ascii="Times New Roman" w:hAnsi="Times New Roman" w:eastAsia="仿宋_GB2312" w:cs="Times New Roman"/>
          <w:color w:val="auto"/>
          <w:spacing w:val="11"/>
          <w:kern w:val="2"/>
          <w:sz w:val="36"/>
          <w:szCs w:val="36"/>
          <w:highlight w:val="none"/>
          <w:lang w:val="en-US" w:eastAsia="zh-CN"/>
        </w:rPr>
        <w:t>财政科学管理，防范化解风险，严肃财经纪律，提高资金使用效益和政策效能，促进经济持续</w:t>
      </w:r>
      <w:r>
        <w:rPr>
          <w:rFonts w:hint="eastAsia" w:ascii="仿宋_GB2312" w:hAnsi="仿宋_GB2312" w:eastAsia="仿宋_GB2312" w:cs="仿宋_GB2312"/>
          <w:color w:val="auto"/>
          <w:spacing w:val="11"/>
          <w:kern w:val="2"/>
          <w:sz w:val="36"/>
          <w:szCs w:val="36"/>
          <w:highlight w:val="none"/>
          <w:lang w:val="en-US" w:eastAsia="zh-CN"/>
        </w:rPr>
        <w:t>回升向好，为完成“十四五”规划目标任务、实现“十五五”良好开局提</w:t>
      </w:r>
      <w:r>
        <w:rPr>
          <w:rFonts w:hint="default" w:ascii="Times New Roman" w:hAnsi="Times New Roman" w:eastAsia="仿宋_GB2312" w:cs="Times New Roman"/>
          <w:color w:val="auto"/>
          <w:spacing w:val="11"/>
          <w:kern w:val="2"/>
          <w:sz w:val="36"/>
          <w:szCs w:val="36"/>
          <w:highlight w:val="none"/>
          <w:lang w:val="en-US" w:eastAsia="zh-CN"/>
        </w:rPr>
        <w:t>供有力保障。</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default" w:ascii="Times New Roman" w:hAnsi="Times New Roman" w:eastAsia="黑体" w:cs="Times New Roman"/>
          <w:b w:val="0"/>
          <w:bCs w:val="0"/>
          <w:i w:val="0"/>
          <w:iCs w:val="0"/>
          <w:caps w:val="0"/>
          <w:color w:val="auto"/>
          <w:spacing w:val="11"/>
          <w:position w:val="0"/>
          <w:sz w:val="36"/>
          <w:szCs w:val="36"/>
          <w:highlight w:val="none"/>
          <w:shd w:val="clear" w:fill="FFFFFF"/>
          <w:lang w:val="en-US" w:eastAsia="zh-CN"/>
        </w:rPr>
      </w:pPr>
      <w:r>
        <w:rPr>
          <w:rFonts w:hint="default" w:ascii="Times New Roman" w:hAnsi="Times New Roman" w:eastAsia="黑体" w:cs="Times New Roman"/>
          <w:b w:val="0"/>
          <w:bCs w:val="0"/>
          <w:i w:val="0"/>
          <w:iCs w:val="0"/>
          <w:caps w:val="0"/>
          <w:color w:val="auto"/>
          <w:spacing w:val="11"/>
          <w:position w:val="0"/>
          <w:sz w:val="36"/>
          <w:szCs w:val="36"/>
          <w:highlight w:val="none"/>
          <w:shd w:val="clear" w:fill="FFFFFF"/>
          <w:lang w:val="en-US" w:eastAsia="zh-CN"/>
        </w:rPr>
        <w:t>三、预算草案综述</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7" w:firstLineChars="200"/>
        <w:jc w:val="both"/>
        <w:textAlignment w:val="auto"/>
        <w:outlineLvl w:val="9"/>
        <w:rPr>
          <w:rFonts w:hint="default" w:ascii="Times New Roman" w:hAnsi="Times New Roman" w:eastAsia="楷体_GB2312" w:cs="Times New Roman"/>
          <w:b/>
          <w:bCs/>
          <w:color w:val="auto"/>
          <w:spacing w:val="11"/>
          <w:position w:val="0"/>
          <w:sz w:val="36"/>
          <w:szCs w:val="36"/>
          <w:highlight w:val="none"/>
        </w:rPr>
      </w:pPr>
      <w:r>
        <w:rPr>
          <w:rFonts w:hint="default" w:ascii="Times New Roman" w:hAnsi="Times New Roman" w:eastAsia="楷体_GB2312" w:cs="Times New Roman"/>
          <w:b/>
          <w:bCs/>
          <w:color w:val="auto"/>
          <w:spacing w:val="11"/>
          <w:position w:val="0"/>
          <w:sz w:val="36"/>
          <w:szCs w:val="36"/>
          <w:highlight w:val="none"/>
          <w:lang w:eastAsia="zh-CN"/>
        </w:rPr>
        <w:t>（一）</w:t>
      </w:r>
      <w:r>
        <w:rPr>
          <w:rFonts w:hint="default" w:ascii="Times New Roman" w:hAnsi="Times New Roman" w:eastAsia="楷体_GB2312" w:cs="Times New Roman"/>
          <w:b/>
          <w:bCs/>
          <w:color w:val="auto"/>
          <w:spacing w:val="11"/>
          <w:position w:val="0"/>
          <w:sz w:val="36"/>
          <w:szCs w:val="36"/>
          <w:highlight w:val="none"/>
        </w:rPr>
        <w:t>一般公共预算</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经综合研判，2025年全州地方一般公共预算收入增长预期为3.5%，规模预计为80.82亿元，加上转移性收入292.68亿元后，收入总计为373.5亿元。一般公共预算支出安排359.45亿元，加上转移性支出8.83亿元、债务还本支出5.22亿元后，支出总计为373.5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州本级地方一般公共预算收入增长预期为3.5%，规模预计为18.07亿元，加上转移性收入240.42亿元后（其中返还性收入和转移支付收入227.76亿元、县市区上解收入6.4亿元、动用预算稳定调节基金6.24亿元、调入资金0.02亿元），收入总计258.49亿元。一般公共预算支出安排47.15亿元，加上转移性支出和债务还本支出211.34亿元后（其中返还性支出和转移支付支出202.51亿元、上解支出6.93亿元、调出资金1.9亿元），支出总计258.49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湘西高新区地方一般公共预算收入增长预期为5.5%，规模预计为2.3亿元，加上转移性收入1亿元后，收入总计3.3亿元。一般公共预算支出安排3.11亿元，加上转移性支出0.07亿元、债务还本支出0.12亿元后，支出总计3.3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7" w:firstLineChars="200"/>
        <w:jc w:val="both"/>
        <w:textAlignment w:val="auto"/>
        <w:outlineLvl w:val="9"/>
        <w:rPr>
          <w:rFonts w:hint="default" w:ascii="Times New Roman" w:hAnsi="Times New Roman" w:eastAsia="楷体_GB2312" w:cs="Times New Roman"/>
          <w:b/>
          <w:bCs/>
          <w:color w:val="auto"/>
          <w:spacing w:val="11"/>
          <w:position w:val="0"/>
          <w:sz w:val="36"/>
          <w:szCs w:val="36"/>
          <w:highlight w:val="none"/>
          <w:lang w:eastAsia="zh-CN"/>
        </w:rPr>
      </w:pPr>
      <w:r>
        <w:rPr>
          <w:rFonts w:hint="default" w:ascii="Times New Roman" w:hAnsi="Times New Roman" w:eastAsia="楷体_GB2312" w:cs="Times New Roman"/>
          <w:b/>
          <w:bCs/>
          <w:color w:val="auto"/>
          <w:spacing w:val="11"/>
          <w:position w:val="0"/>
          <w:sz w:val="36"/>
          <w:szCs w:val="36"/>
          <w:highlight w:val="none"/>
          <w:lang w:val="en-US" w:eastAsia="zh-CN"/>
        </w:rPr>
        <w:t>（二）</w:t>
      </w:r>
      <w:r>
        <w:rPr>
          <w:rFonts w:hint="default" w:ascii="Times New Roman" w:hAnsi="Times New Roman" w:eastAsia="楷体_GB2312" w:cs="Times New Roman"/>
          <w:b/>
          <w:bCs/>
          <w:color w:val="auto"/>
          <w:spacing w:val="11"/>
          <w:position w:val="0"/>
          <w:sz w:val="36"/>
          <w:szCs w:val="36"/>
          <w:highlight w:val="none"/>
          <w:lang w:eastAsia="zh-CN"/>
        </w:rPr>
        <w:t>政府性基金预算</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根据政府性基金收入和实际支出情况，按基金项目以收定支编制。全州政府性基金预算收入预计为49.98亿元，加上转移性收入14.13亿元后，收入总计64.11亿元。政府性基金预算支出安排39.56亿元，加上转移性支出23.24亿元、专项债务还本1.31亿元后，支出总计64.11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州本级政府性基金预算收入预计为0.1亿元，加上转移性收入4.22亿元后，收入总计4.32亿元。支出安排1.3亿元，加上转移性支出2.56亿元、债务还本支出0.46亿元后，支出总计4.32亿元，当年可实现收支平衡。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湘西高新区政府性基金预算收入预计为</w:t>
      </w:r>
      <w:r>
        <w:rPr>
          <w:rFonts w:hint="eastAsia" w:ascii="仿宋_GB2312" w:hAnsi="仿宋_GB2312" w:eastAsia="仿宋_GB2312" w:cs="仿宋_GB2312"/>
          <w:b w:val="0"/>
          <w:bCs/>
          <w:color w:val="auto"/>
          <w:spacing w:val="11"/>
          <w:w w:val="95"/>
          <w:kern w:val="0"/>
          <w:sz w:val="36"/>
          <w:szCs w:val="36"/>
          <w:highlight w:val="none"/>
          <w:lang w:val="en-US" w:eastAsia="zh-CN" w:bidi="ar-SA"/>
        </w:rPr>
        <w:t>2.91亿元，支出安排2.91亿元，当年可实现收支平衡。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7" w:firstLineChars="200"/>
        <w:jc w:val="both"/>
        <w:textAlignment w:val="auto"/>
        <w:outlineLvl w:val="9"/>
        <w:rPr>
          <w:rFonts w:hint="eastAsia" w:ascii="楷体_GB2312" w:hAnsi="楷体_GB2312" w:eastAsia="楷体_GB2312" w:cs="楷体_GB2312"/>
          <w:b/>
          <w:bCs/>
          <w:color w:val="auto"/>
          <w:spacing w:val="11"/>
          <w:kern w:val="0"/>
          <w:sz w:val="36"/>
          <w:szCs w:val="36"/>
          <w:highlight w:val="none"/>
          <w:lang w:val="en-US" w:eastAsia="zh-CN" w:bidi="ar-SA"/>
        </w:rPr>
      </w:pPr>
      <w:r>
        <w:rPr>
          <w:rFonts w:hint="eastAsia" w:ascii="楷体_GB2312" w:hAnsi="楷体_GB2312" w:eastAsia="楷体_GB2312" w:cs="楷体_GB2312"/>
          <w:b/>
          <w:bCs/>
          <w:color w:val="auto"/>
          <w:spacing w:val="11"/>
          <w:position w:val="0"/>
          <w:sz w:val="36"/>
          <w:szCs w:val="36"/>
          <w:highlight w:val="none"/>
          <w:lang w:eastAsia="zh-CN"/>
        </w:rPr>
        <w:t>（三）国有资本经营预算</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按照收支平衡的原则编制，并加大与一般公共预算统筹力度。全州国有资本经营预算收入预计为15.93亿元，加上转移性收入0.01亿元后，收入总计15.94亿元；国有资本经营预算支出安排2.99亿元，加上转移性支出12.95亿元后，支出总计15.94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b w:val="0"/>
          <w:bCs/>
          <w:color w:val="auto"/>
          <w:spacing w:val="11"/>
          <w:kern w:val="0"/>
          <w:sz w:val="36"/>
          <w:szCs w:val="36"/>
          <w:highlight w:val="none"/>
          <w:lang w:val="en-US" w:eastAsia="zh-CN" w:bidi="ar-SA"/>
        </w:rPr>
      </w:pPr>
      <w:r>
        <w:rPr>
          <w:rFonts w:hint="eastAsia" w:ascii="仿宋_GB2312" w:hAnsi="仿宋_GB2312" w:eastAsia="仿宋_GB2312" w:cs="仿宋_GB2312"/>
          <w:b w:val="0"/>
          <w:bCs/>
          <w:color w:val="auto"/>
          <w:spacing w:val="11"/>
          <w:kern w:val="0"/>
          <w:sz w:val="36"/>
          <w:szCs w:val="36"/>
          <w:highlight w:val="none"/>
          <w:lang w:val="en-US" w:eastAsia="zh-CN" w:bidi="ar-SA"/>
        </w:rPr>
        <w:t>州本级国有资本经营预算收入预计为0.04亿元,加上转移性收入0.01亿元后，收入总计0.05亿元。支出安排0.02亿元，加上转移性支出0.03亿元后，支出总计0.05亿元，当年可实现收支平衡。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color w:val="auto"/>
          <w:spacing w:val="11"/>
          <w:kern w:val="21"/>
          <w:sz w:val="36"/>
          <w:szCs w:val="36"/>
          <w:highlight w:val="none"/>
          <w:lang w:val="en-US" w:eastAsia="zh-CN"/>
        </w:rPr>
      </w:pPr>
      <w:r>
        <w:rPr>
          <w:rFonts w:hint="eastAsia" w:ascii="仿宋_GB2312" w:hAnsi="仿宋_GB2312" w:eastAsia="仿宋_GB2312" w:cs="仿宋_GB2312"/>
          <w:b w:val="0"/>
          <w:bCs/>
          <w:color w:val="auto"/>
          <w:spacing w:val="11"/>
          <w:kern w:val="0"/>
          <w:sz w:val="36"/>
          <w:szCs w:val="36"/>
          <w:highlight w:val="none"/>
          <w:lang w:val="en-US" w:eastAsia="zh-CN" w:bidi="ar-SA"/>
        </w:rPr>
        <w:t>湘西高新区国有资本经营预算收入预计为0.03亿元，支出安排0.03亿元，当年可实现收支平衡。</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7" w:firstLineChars="200"/>
        <w:jc w:val="both"/>
        <w:textAlignment w:val="auto"/>
        <w:outlineLvl w:val="9"/>
        <w:rPr>
          <w:rFonts w:hint="default" w:ascii="Times New Roman" w:hAnsi="Times New Roman" w:eastAsia="楷体_GB2312" w:cs="Times New Roman"/>
          <w:b/>
          <w:bCs/>
          <w:color w:val="auto"/>
          <w:spacing w:val="11"/>
          <w:position w:val="0"/>
          <w:sz w:val="36"/>
          <w:szCs w:val="36"/>
          <w:highlight w:val="none"/>
          <w:lang w:eastAsia="zh-CN"/>
        </w:rPr>
      </w:pPr>
      <w:r>
        <w:rPr>
          <w:rFonts w:hint="default" w:ascii="Times New Roman" w:hAnsi="Times New Roman" w:eastAsia="楷体_GB2312" w:cs="Times New Roman"/>
          <w:b/>
          <w:bCs/>
          <w:color w:val="auto"/>
          <w:spacing w:val="11"/>
          <w:position w:val="0"/>
          <w:sz w:val="36"/>
          <w:szCs w:val="36"/>
          <w:highlight w:val="none"/>
          <w:lang w:val="en-US" w:eastAsia="zh-CN"/>
        </w:rPr>
        <w:t>（四）</w:t>
      </w:r>
      <w:r>
        <w:rPr>
          <w:rFonts w:hint="default" w:ascii="Times New Roman" w:hAnsi="Times New Roman" w:eastAsia="楷体_GB2312" w:cs="Times New Roman"/>
          <w:b/>
          <w:bCs/>
          <w:color w:val="auto"/>
          <w:spacing w:val="11"/>
          <w:position w:val="0"/>
          <w:sz w:val="36"/>
          <w:szCs w:val="36"/>
          <w:highlight w:val="none"/>
          <w:lang w:eastAsia="zh-CN"/>
        </w:rPr>
        <w:t>社会保险基金预算</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color w:val="auto"/>
          <w:spacing w:val="11"/>
          <w:position w:val="0"/>
          <w:sz w:val="36"/>
          <w:szCs w:val="36"/>
          <w:highlight w:val="none"/>
          <w:lang w:eastAsia="zh-CN"/>
        </w:rPr>
      </w:pPr>
      <w:r>
        <w:rPr>
          <w:rFonts w:hint="eastAsia" w:ascii="仿宋_GB2312" w:hAnsi="仿宋_GB2312" w:eastAsia="仿宋_GB2312" w:cs="仿宋_GB2312"/>
          <w:color w:val="auto"/>
          <w:spacing w:val="11"/>
          <w:position w:val="0"/>
          <w:sz w:val="36"/>
          <w:szCs w:val="36"/>
          <w:highlight w:val="none"/>
          <w:lang w:eastAsia="zh-CN"/>
        </w:rPr>
        <w:t>全州社会保险基金上年结余90.65亿元，本年收入80.06亿元，支出安排70.29亿元，年终滚存结余100.42亿元。</w:t>
      </w:r>
    </w:p>
    <w:p>
      <w:pPr>
        <w:keepNext w:val="0"/>
        <w:keepLines w:val="0"/>
        <w:pageBreakBefore w:val="0"/>
        <w:widowControl w:val="0"/>
        <w:numPr>
          <w:ilvl w:val="0"/>
          <w:numId w:val="0"/>
        </w:numPr>
        <w:pBdr>
          <w:bottom w:val="single" w:color="FFFFFF" w:sz="4" w:space="28"/>
        </w:pBdr>
        <w:tabs>
          <w:tab w:val="left" w:pos="1440"/>
        </w:tabs>
        <w:kinsoku/>
        <w:wordWrap/>
        <w:overflowPunct/>
        <w:topLinePunct w:val="0"/>
        <w:autoSpaceDE/>
        <w:autoSpaceDN/>
        <w:bidi w:val="0"/>
        <w:adjustRightInd/>
        <w:snapToGrid/>
        <w:spacing w:beforeAutospacing="0" w:line="640" w:lineRule="exact"/>
        <w:ind w:firstLine="764" w:firstLineChars="200"/>
        <w:jc w:val="both"/>
        <w:textAlignment w:val="auto"/>
        <w:outlineLvl w:val="9"/>
        <w:rPr>
          <w:rFonts w:hint="eastAsia" w:ascii="仿宋_GB2312" w:hAnsi="仿宋_GB2312" w:eastAsia="仿宋_GB2312" w:cs="仿宋_GB2312"/>
          <w:color w:val="000000"/>
          <w:spacing w:val="11"/>
          <w:kern w:val="0"/>
          <w:sz w:val="36"/>
          <w:szCs w:val="36"/>
          <w:highlight w:val="none"/>
          <w:lang w:val="en-US" w:eastAsia="zh-CN" w:bidi="ar"/>
        </w:rPr>
      </w:pPr>
      <w:r>
        <w:rPr>
          <w:rFonts w:hint="eastAsia" w:ascii="仿宋_GB2312" w:hAnsi="仿宋_GB2312" w:eastAsia="仿宋_GB2312" w:cs="仿宋_GB2312"/>
          <w:color w:val="auto"/>
          <w:spacing w:val="11"/>
          <w:position w:val="0"/>
          <w:sz w:val="36"/>
          <w:szCs w:val="36"/>
          <w:highlight w:val="none"/>
          <w:lang w:eastAsia="zh-CN"/>
        </w:rPr>
        <w:t>州本级社会保险基金上年结余63.2亿元，本年收入44.75亿元，支出安排38.65亿元，年终滚存结余69.3亿元。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7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UserStyle_0"/>
    <w:basedOn w:val="1"/>
    <w:qFormat/>
    <w:uiPriority w:val="0"/>
    <w:pPr>
      <w:ind w:firstLine="420" w:firstLineChars="200"/>
      <w:jc w:val="both"/>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2025-02-06T08:07:06Z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