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both"/>
        <w:rPr>
          <w:rFonts w:hint="eastAsia" w:eastAsia="黑体"/>
          <w:sz w:val="32"/>
          <w:szCs w:val="32"/>
          <w:lang w:val="en-US" w:eastAsia="zh-CN"/>
        </w:rPr>
      </w:pPr>
      <w:r>
        <w:rPr>
          <w:rFonts w:hint="eastAsia"/>
          <w:sz w:val="32"/>
          <w:szCs w:val="32"/>
          <w:lang w:val="en-US" w:eastAsia="zh-CN"/>
        </w:rPr>
        <w:t>附件：</w:t>
      </w: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2020年度</w:t>
      </w:r>
    </w:p>
    <w:p>
      <w:pPr>
        <w:pStyle w:val="11"/>
        <w:jc w:val="center"/>
        <w:rPr>
          <w:sz w:val="84"/>
          <w:szCs w:val="84"/>
        </w:rPr>
      </w:pPr>
      <w:r>
        <w:rPr>
          <w:rFonts w:hint="eastAsia"/>
          <w:sz w:val="84"/>
          <w:szCs w:val="84"/>
        </w:rPr>
        <w:t>湘西州妇女联合会部门决算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第一部分湘西州妇女联合会单位概况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hint="eastAsia" w:ascii="仿宋_GB2312" w:hAnsi="仿宋_GB2312" w:cs="仿宋_GB2312" w:eastAsiaTheme="minorEastAsia"/>
          <w:color w:val="000000"/>
          <w:kern w:val="0"/>
          <w:sz w:val="28"/>
          <w:szCs w:val="28"/>
          <w:lang w:val="en-US" w:eastAsia="zh-CN"/>
        </w:rPr>
      </w:pPr>
      <w:r>
        <w:rPr>
          <w:rFonts w:hint="eastAsia" w:ascii="仿宋_GB2312" w:hAnsi="仿宋_GB2312" w:cs="仿宋_GB2312"/>
          <w:color w:val="000000"/>
          <w:kern w:val="0"/>
          <w:sz w:val="28"/>
          <w:szCs w:val="28"/>
          <w:lang w:val="en-US" w:eastAsia="zh-CN"/>
        </w:rPr>
        <w:t>九、</w:t>
      </w:r>
      <w:r>
        <w:rPr>
          <w:rFonts w:hint="eastAsia" w:cs="仿宋_GB2312" w:asciiTheme="minorEastAsia" w:hAnsiTheme="minorEastAsia" w:eastAsiaTheme="minorEastAsia"/>
          <w:sz w:val="28"/>
          <w:szCs w:val="28"/>
        </w:rPr>
        <w:t>国有资本经营预算支出决算</w:t>
      </w:r>
      <w:r>
        <w:rPr>
          <w:rFonts w:hint="eastAsia" w:cs="仿宋_GB2312" w:asciiTheme="minorEastAsia" w:hAnsiTheme="minorEastAsia"/>
          <w:sz w:val="28"/>
          <w:szCs w:val="28"/>
          <w:lang w:val="en-US" w:eastAsia="zh-CN"/>
        </w:rPr>
        <w:t>情况</w:t>
      </w:r>
    </w:p>
    <w:p>
      <w:pPr>
        <w:autoSpaceDE w:val="0"/>
        <w:autoSpaceDN w:val="0"/>
        <w:adjustRightInd w:val="0"/>
        <w:spacing w:line="500" w:lineRule="exact"/>
        <w:ind w:firstLine="700" w:firstLineChars="250"/>
        <w:jc w:val="left"/>
        <w:rPr>
          <w:rFonts w:hint="eastAsia" w:ascii="仿宋_GB2312" w:hAnsi="仿宋_GB2312" w:cs="仿宋_GB2312" w:eastAsiaTheme="minorEastAsia"/>
          <w:sz w:val="28"/>
          <w:szCs w:val="28"/>
        </w:rPr>
      </w:pPr>
      <w:r>
        <w:rPr>
          <w:rFonts w:hint="eastAsia" w:ascii="仿宋_GB2312" w:hAnsi="仿宋_GB2312" w:cs="仿宋_GB2312"/>
          <w:color w:val="000000"/>
          <w:kern w:val="0"/>
          <w:sz w:val="28"/>
          <w:szCs w:val="28"/>
          <w:lang w:val="en-US" w:eastAsia="zh-CN"/>
        </w:rPr>
        <w:t>十</w:t>
      </w:r>
      <w:r>
        <w:rPr>
          <w:rFonts w:ascii="仿宋_GB2312" w:hAnsi="仿宋_GB2312" w:cs="仿宋_GB2312"/>
          <w:color w:val="000000"/>
          <w:kern w:val="0"/>
          <w:sz w:val="28"/>
          <w:szCs w:val="28"/>
        </w:rPr>
        <w:t>、</w:t>
      </w:r>
      <w:r>
        <w:rPr>
          <w:rFonts w:hint="eastAsia" w:ascii="仿宋_GB2312" w:hAnsi="仿宋_GB2312" w:cs="仿宋_GB2312" w:eastAsiaTheme="minorEastAsia"/>
          <w:sz w:val="28"/>
          <w:szCs w:val="28"/>
        </w:rPr>
        <w:t>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pStyle w:val="11"/>
        <w:spacing w:line="500" w:lineRule="exact"/>
        <w:ind w:firstLine="700" w:firstLineChars="25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十一</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color w:val="000000"/>
          <w:kern w:val="0"/>
          <w:sz w:val="28"/>
          <w:szCs w:val="28"/>
          <w:lang w:val="en-US" w:eastAsia="zh-CN"/>
        </w:rPr>
        <w:t>其他重要事项情况说明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rPr>
        <w:t>湘西州妇女联合会单位概况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color w:val="auto"/>
          <w:sz w:val="32"/>
          <w:szCs w:val="32"/>
        </w:rPr>
      </w:pPr>
      <w:r>
        <w:rPr>
          <w:rFonts w:ascii="黑体" w:hAnsi="黑体" w:eastAsia="黑体"/>
          <w:color w:val="auto"/>
          <w:sz w:val="32"/>
          <w:szCs w:val="32"/>
        </w:rPr>
        <w:t>部门职责</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一）组织引导妇女学习贯彻习近平新时代中国特色社会主义思想和党的路线方针政策，用中国特色社会主义共同理想凝聚妇女。（二）加强同各类妇女组织的联系、交流和合作，巩固和扩大各民族各界妇女的大团结，引领全州妇女群众紧密团结在中国共产党周围。（三）团结动员妇女投身改革开放和社会主义经济建设、政治建设、文化建设、社会建设和生态文明建设，为中国特色社会主义伟大实践作贡献。（四）代表妇女参与管理经济和文化事业、管理社会事务，参与民主决策、民主管理、民主监督，参与有关法律、法规、规章和政策的规定，参与社会治理和公共服务，推动保障妇女权益法律政策和妇女、儿童发展纲要的实施。（五）维护妇女儿童合法权益，倾听妇女意见，反映妇女诉求，向各级机关提出有关建议，要求并协助有关部门或单位查处侵害妇女儿童权益的行为，为受侵害的妇女儿童提供帮助。（六）教育引导妇女树立自尊、自信、自立、自强的精神，提高综合素质，实现全面发展。宣传马克思主义妇女观，推动落实男女平等基本国策，营造有利于妇女全面发展的社会环境。宣传表彰优秀妇女典型，培养、推荐女性人才。（七）教育引导妇女践行社会主义核心价值观，弘扬中华优秀文化，组织开展家庭文明创建，支持服务家庭教育，传承中华民族家庭美德，树立良好家风，推动形成家庭文明新风尚。（八）关心妇女工作生活，拓宽服务渠道，创新服务方式，建设服务阵地，发展公益事业，壮大巾帼志愿者队伍，加强妇女之家建设。联系和引导女性社会组织，加强与社会各界的协作，推动全社会为发女儿童和家庭服务。9、完成州委、州政府交办的其他任务。</w:t>
      </w:r>
    </w:p>
    <w:p>
      <w:pPr>
        <w:jc w:val="left"/>
        <w:rPr>
          <w:rFonts w:ascii="仿宋_GB2312" w:eastAsia="仿宋_GB2312" w:hAnsiTheme="minorEastAsia"/>
          <w:color w:val="FF0000"/>
          <w:sz w:val="28"/>
          <w:szCs w:val="32"/>
        </w:rPr>
      </w:pPr>
    </w:p>
    <w:p>
      <w:pPr>
        <w:widowControl/>
        <w:spacing w:line="600" w:lineRule="exact"/>
        <w:rPr>
          <w:rFonts w:hint="eastAsia" w:ascii="黑体" w:hAnsi="黑体" w:eastAsia="黑体"/>
          <w:bCs/>
          <w:color w:val="FF0000"/>
          <w:kern w:val="0"/>
          <w:sz w:val="32"/>
          <w:szCs w:val="32"/>
        </w:rPr>
      </w:pPr>
    </w:p>
    <w:p>
      <w:pPr>
        <w:widowControl/>
        <w:spacing w:line="600" w:lineRule="exact"/>
        <w:rPr>
          <w:rFonts w:hint="eastAsia" w:ascii="黑体" w:hAnsi="黑体" w:eastAsia="黑体"/>
          <w:bCs/>
          <w:color w:val="FF0000"/>
          <w:kern w:val="0"/>
          <w:sz w:val="32"/>
          <w:szCs w:val="32"/>
        </w:rPr>
      </w:pPr>
    </w:p>
    <w:p>
      <w:pPr>
        <w:widowControl/>
        <w:spacing w:line="600" w:lineRule="exact"/>
        <w:rPr>
          <w:rFonts w:ascii="黑体" w:hAnsi="黑体" w:eastAsia="黑体"/>
          <w:bCs/>
          <w:color w:val="auto"/>
          <w:kern w:val="0"/>
          <w:sz w:val="32"/>
          <w:szCs w:val="32"/>
        </w:rPr>
      </w:pPr>
      <w:r>
        <w:rPr>
          <w:rFonts w:hint="eastAsia" w:ascii="黑体" w:hAnsi="黑体" w:eastAsia="黑体"/>
          <w:bCs/>
          <w:color w:val="auto"/>
          <w:kern w:val="0"/>
          <w:sz w:val="32"/>
          <w:szCs w:val="32"/>
        </w:rPr>
        <w:t>二、机构设置及决算单位构成</w:t>
      </w:r>
    </w:p>
    <w:p>
      <w:pPr>
        <w:ind w:firstLine="640" w:firstLineChars="200"/>
        <w:rPr>
          <w:rFonts w:hint="eastAsia" w:ascii="宋体" w:hAnsi="宋体" w:eastAsia="宋体" w:cs="宋体"/>
          <w:b w:val="0"/>
          <w:bCs w:val="0"/>
          <w:color w:val="000000"/>
          <w:sz w:val="32"/>
          <w:szCs w:val="32"/>
        </w:rPr>
      </w:pPr>
      <w:r>
        <w:rPr>
          <w:rFonts w:hint="eastAsia" w:ascii="宋体" w:hAnsi="宋体" w:eastAsia="宋体" w:cs="宋体"/>
          <w:b w:val="0"/>
          <w:bCs w:val="0"/>
          <w:color w:val="000000"/>
          <w:sz w:val="32"/>
          <w:szCs w:val="32"/>
        </w:rPr>
        <w:t>（一）内设机构设置。州妇联单位内设机构包括：（一）内设机构设置。内设办公室、组宣部、妇女发展部、权益部、家庭和儿童工作部（州人民政府妇女儿童工作委员会办公室）5个只能部室。</w:t>
      </w:r>
    </w:p>
    <w:p>
      <w:pPr>
        <w:ind w:firstLine="640" w:firstLineChars="200"/>
        <w:rPr>
          <w:rFonts w:hint="eastAsia" w:ascii="宋体" w:hAnsi="宋体" w:eastAsia="宋体" w:cs="宋体"/>
          <w:b w:val="0"/>
          <w:bCs w:val="0"/>
          <w:color w:val="000000"/>
          <w:sz w:val="32"/>
          <w:szCs w:val="32"/>
        </w:rPr>
      </w:pPr>
      <w:r>
        <w:rPr>
          <w:rFonts w:hint="eastAsia" w:ascii="宋体" w:hAnsi="宋体" w:eastAsia="宋体" w:cs="宋体"/>
          <w:b w:val="0"/>
          <w:bCs w:val="0"/>
          <w:color w:val="000000"/>
          <w:sz w:val="32"/>
          <w:szCs w:val="32"/>
        </w:rPr>
        <w:t>（二）决算单位构成。纳入20</w:t>
      </w:r>
      <w:r>
        <w:rPr>
          <w:rFonts w:hint="eastAsia" w:ascii="宋体" w:hAnsi="宋体" w:eastAsia="宋体" w:cs="宋体"/>
          <w:b w:val="0"/>
          <w:bCs w:val="0"/>
          <w:color w:val="000000"/>
          <w:sz w:val="32"/>
          <w:szCs w:val="32"/>
          <w:lang w:val="en-US" w:eastAsia="zh-CN"/>
        </w:rPr>
        <w:t>20</w:t>
      </w:r>
      <w:r>
        <w:rPr>
          <w:rFonts w:hint="eastAsia" w:ascii="宋体" w:hAnsi="宋体" w:eastAsia="宋体" w:cs="宋体"/>
          <w:b w:val="0"/>
          <w:bCs w:val="0"/>
          <w:color w:val="000000"/>
          <w:sz w:val="32"/>
          <w:szCs w:val="32"/>
        </w:rPr>
        <w:t>年部门决算编制范围的只有湘西州妇女联合会。</w:t>
      </w:r>
    </w:p>
    <w:p>
      <w:pPr>
        <w:widowControl/>
        <w:spacing w:line="600" w:lineRule="exact"/>
        <w:rPr>
          <w:rFonts w:asciiTheme="minorEastAsia" w:hAnsiTheme="minorEastAsia"/>
          <w:bCs/>
          <w:color w:val="FF0000"/>
          <w:kern w:val="0"/>
          <w:sz w:val="32"/>
          <w:szCs w:val="32"/>
        </w:rPr>
      </w:pPr>
    </w:p>
    <w:p>
      <w:pPr>
        <w:jc w:val="left"/>
        <w:rPr>
          <w:rFonts w:ascii="仿宋_GB2312" w:eastAsia="仿宋_GB2312" w:hAnsiTheme="minorEastAsia"/>
          <w:color w:val="FF0000"/>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7"/>
        <w:tblW w:w="4998" w:type="pct"/>
        <w:tblInd w:w="0" w:type="dxa"/>
        <w:shd w:val="clear" w:color="auto" w:fill="auto"/>
        <w:tblLayout w:type="autofit"/>
        <w:tblCellMar>
          <w:top w:w="0" w:type="dxa"/>
          <w:left w:w="0" w:type="dxa"/>
          <w:bottom w:w="0" w:type="dxa"/>
          <w:right w:w="0" w:type="dxa"/>
        </w:tblCellMar>
      </w:tblPr>
      <w:tblGrid>
        <w:gridCol w:w="4150"/>
        <w:gridCol w:w="526"/>
        <w:gridCol w:w="2430"/>
        <w:gridCol w:w="4150"/>
        <w:gridCol w:w="527"/>
        <w:gridCol w:w="2199"/>
      </w:tblGrid>
      <w:tr>
        <w:tblPrEx>
          <w:shd w:val="clear" w:color="auto" w:fill="auto"/>
          <w:tblCellMar>
            <w:top w:w="0" w:type="dxa"/>
            <w:left w:w="0" w:type="dxa"/>
            <w:bottom w:w="0" w:type="dxa"/>
            <w:right w:w="0" w:type="dxa"/>
          </w:tblCellMar>
        </w:tblPrEx>
        <w:trPr>
          <w:trHeight w:val="390" w:hRule="atLeast"/>
        </w:trPr>
        <w:tc>
          <w:tcPr>
            <w:tcW w:w="1498" w:type="pct"/>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20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99"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收入支出决算总表</w:t>
            </w:r>
          </w:p>
        </w:tc>
        <w:tc>
          <w:tcPr>
            <w:tcW w:w="149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0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9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255" w:hRule="atLeast"/>
        </w:trPr>
        <w:tc>
          <w:tcPr>
            <w:tcW w:w="149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0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9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9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0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99"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CellMar>
            <w:top w:w="0" w:type="dxa"/>
            <w:left w:w="0" w:type="dxa"/>
            <w:bottom w:w="0" w:type="dxa"/>
            <w:right w:w="0" w:type="dxa"/>
          </w:tblCellMar>
        </w:tblPrEx>
        <w:trPr>
          <w:trHeight w:val="255" w:hRule="atLeast"/>
        </w:trPr>
        <w:tc>
          <w:tcPr>
            <w:tcW w:w="1498"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部门：湘西州妇女联合会</w:t>
            </w:r>
          </w:p>
        </w:tc>
        <w:tc>
          <w:tcPr>
            <w:tcW w:w="20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9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9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0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99"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2500"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2500" w:type="pct"/>
            <w:gridSpan w:val="3"/>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308" w:hRule="atLeast"/>
        </w:trPr>
        <w:tc>
          <w:tcPr>
            <w:tcW w:w="149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149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CellMar>
            <w:top w:w="0" w:type="dxa"/>
            <w:left w:w="0" w:type="dxa"/>
            <w:bottom w:w="0" w:type="dxa"/>
            <w:right w:w="0" w:type="dxa"/>
          </w:tblCellMar>
        </w:tblPrEx>
        <w:trPr>
          <w:trHeight w:val="308" w:hRule="atLeast"/>
        </w:trPr>
        <w:tc>
          <w:tcPr>
            <w:tcW w:w="149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9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308" w:hRule="atLeast"/>
        </w:trPr>
        <w:tc>
          <w:tcPr>
            <w:tcW w:w="149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427.39</w:t>
            </w:r>
          </w:p>
        </w:tc>
        <w:tc>
          <w:tcPr>
            <w:tcW w:w="149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392.83</w:t>
            </w:r>
          </w:p>
        </w:tc>
      </w:tr>
      <w:tr>
        <w:tblPrEx>
          <w:tblCellMar>
            <w:top w:w="0" w:type="dxa"/>
            <w:left w:w="0" w:type="dxa"/>
            <w:bottom w:w="0" w:type="dxa"/>
            <w:right w:w="0" w:type="dxa"/>
          </w:tblCellMar>
        </w:tblPrEx>
        <w:trPr>
          <w:trHeight w:val="308" w:hRule="atLeast"/>
        </w:trPr>
        <w:tc>
          <w:tcPr>
            <w:tcW w:w="149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49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9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9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9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9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9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9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48.86</w:t>
            </w:r>
          </w:p>
        </w:tc>
        <w:tc>
          <w:tcPr>
            <w:tcW w:w="149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34.54</w:t>
            </w:r>
          </w:p>
        </w:tc>
      </w:tr>
      <w:tr>
        <w:tblPrEx>
          <w:tblCellMar>
            <w:top w:w="0" w:type="dxa"/>
            <w:left w:w="0" w:type="dxa"/>
            <w:bottom w:w="0" w:type="dxa"/>
            <w:right w:w="0" w:type="dxa"/>
          </w:tblCellMar>
        </w:tblPrEx>
        <w:trPr>
          <w:trHeight w:val="308" w:hRule="atLeast"/>
        </w:trPr>
        <w:tc>
          <w:tcPr>
            <w:tcW w:w="149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9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r>
      <w:tr>
        <w:tblPrEx>
          <w:tblCellMar>
            <w:top w:w="0" w:type="dxa"/>
            <w:left w:w="0" w:type="dxa"/>
            <w:bottom w:w="0" w:type="dxa"/>
            <w:right w:w="0" w:type="dxa"/>
          </w:tblCellMar>
        </w:tblPrEx>
        <w:trPr>
          <w:trHeight w:val="308" w:hRule="atLeast"/>
        </w:trPr>
        <w:tc>
          <w:tcPr>
            <w:tcW w:w="149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9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9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9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r>
      <w:tr>
        <w:tblPrEx>
          <w:tblCellMar>
            <w:top w:w="0" w:type="dxa"/>
            <w:left w:w="0" w:type="dxa"/>
            <w:bottom w:w="0" w:type="dxa"/>
            <w:right w:w="0" w:type="dxa"/>
          </w:tblCellMar>
        </w:tblPrEx>
        <w:trPr>
          <w:trHeight w:val="308" w:hRule="atLeast"/>
        </w:trPr>
        <w:tc>
          <w:tcPr>
            <w:tcW w:w="149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9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r>
      <w:tr>
        <w:tblPrEx>
          <w:tblCellMar>
            <w:top w:w="0" w:type="dxa"/>
            <w:left w:w="0" w:type="dxa"/>
            <w:bottom w:w="0" w:type="dxa"/>
            <w:right w:w="0" w:type="dxa"/>
          </w:tblCellMar>
        </w:tblPrEx>
        <w:trPr>
          <w:trHeight w:val="308" w:hRule="atLeast"/>
        </w:trPr>
        <w:tc>
          <w:tcPr>
            <w:tcW w:w="149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9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9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9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9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9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9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9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9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9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9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9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9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9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r>
      <w:tr>
        <w:tblPrEx>
          <w:tblCellMar>
            <w:top w:w="0" w:type="dxa"/>
            <w:left w:w="0" w:type="dxa"/>
            <w:bottom w:w="0" w:type="dxa"/>
            <w:right w:w="0" w:type="dxa"/>
          </w:tblCellMar>
        </w:tblPrEx>
        <w:trPr>
          <w:trHeight w:val="308" w:hRule="atLeast"/>
        </w:trPr>
        <w:tc>
          <w:tcPr>
            <w:tcW w:w="149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9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9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9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9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9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9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9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9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9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9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9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9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9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9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481.25</w:t>
            </w:r>
          </w:p>
        </w:tc>
        <w:tc>
          <w:tcPr>
            <w:tcW w:w="149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469.39</w:t>
            </w:r>
          </w:p>
        </w:tc>
      </w:tr>
      <w:tr>
        <w:tblPrEx>
          <w:tblCellMar>
            <w:top w:w="0" w:type="dxa"/>
            <w:left w:w="0" w:type="dxa"/>
            <w:bottom w:w="0" w:type="dxa"/>
            <w:right w:w="0" w:type="dxa"/>
          </w:tblCellMar>
        </w:tblPrEx>
        <w:trPr>
          <w:trHeight w:val="308" w:hRule="atLeast"/>
        </w:trPr>
        <w:tc>
          <w:tcPr>
            <w:tcW w:w="149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9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9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20.66</w:t>
            </w:r>
          </w:p>
        </w:tc>
        <w:tc>
          <w:tcPr>
            <w:tcW w:w="149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32.52</w:t>
            </w:r>
          </w:p>
        </w:tc>
      </w:tr>
      <w:tr>
        <w:tblPrEx>
          <w:tblCellMar>
            <w:top w:w="0" w:type="dxa"/>
            <w:left w:w="0" w:type="dxa"/>
            <w:bottom w:w="0" w:type="dxa"/>
            <w:right w:w="0" w:type="dxa"/>
          </w:tblCellMar>
        </w:tblPrEx>
        <w:trPr>
          <w:trHeight w:val="308" w:hRule="atLeast"/>
        </w:trPr>
        <w:tc>
          <w:tcPr>
            <w:tcW w:w="149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9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498"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02" w:type="pct"/>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501.91</w:t>
            </w:r>
          </w:p>
        </w:tc>
        <w:tc>
          <w:tcPr>
            <w:tcW w:w="149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7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501.91</w:t>
            </w:r>
          </w:p>
        </w:tc>
      </w:tr>
      <w:tr>
        <w:tblPrEx>
          <w:tblCellMar>
            <w:top w:w="0" w:type="dxa"/>
            <w:left w:w="0" w:type="dxa"/>
            <w:bottom w:w="0" w:type="dxa"/>
            <w:right w:w="0" w:type="dxa"/>
          </w:tblCellMar>
        </w:tblPrEx>
        <w:trPr>
          <w:trHeight w:val="308" w:hRule="atLeast"/>
        </w:trPr>
        <w:tc>
          <w:tcPr>
            <w:tcW w:w="5000" w:type="pct"/>
            <w:gridSpan w:val="6"/>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注：本表反映部门本年度的总收支和年末结转结余情况。本套报表金额单位转换时可能存在尾数误差。</w:t>
            </w:r>
          </w:p>
        </w:tc>
      </w:tr>
    </w:tbl>
    <w:p>
      <w:pPr>
        <w:jc w:val="both"/>
        <w:rPr>
          <w:rFonts w:ascii="黑体" w:hAnsi="黑体" w:eastAsia="黑体"/>
          <w:sz w:val="28"/>
          <w:szCs w:val="28"/>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AndChars" w:linePitch="312" w:charSpace="0"/>
        </w:sectPr>
      </w:pPr>
    </w:p>
    <w:tbl>
      <w:tblPr>
        <w:tblStyle w:val="7"/>
        <w:tblW w:w="4997" w:type="pct"/>
        <w:tblInd w:w="0" w:type="dxa"/>
        <w:shd w:val="clear" w:color="auto" w:fill="auto"/>
        <w:tblLayout w:type="autofit"/>
        <w:tblCellMar>
          <w:top w:w="0" w:type="dxa"/>
          <w:left w:w="0" w:type="dxa"/>
          <w:bottom w:w="0" w:type="dxa"/>
          <w:right w:w="0" w:type="dxa"/>
        </w:tblCellMar>
      </w:tblPr>
      <w:tblGrid>
        <w:gridCol w:w="2343"/>
        <w:gridCol w:w="36"/>
        <w:gridCol w:w="40"/>
        <w:gridCol w:w="4431"/>
        <w:gridCol w:w="981"/>
        <w:gridCol w:w="1116"/>
        <w:gridCol w:w="1610"/>
        <w:gridCol w:w="1116"/>
        <w:gridCol w:w="1116"/>
        <w:gridCol w:w="1116"/>
        <w:gridCol w:w="1514"/>
      </w:tblGrid>
      <w:tr>
        <w:tblPrEx>
          <w:shd w:val="clear" w:color="auto" w:fill="auto"/>
          <w:tblCellMar>
            <w:top w:w="0" w:type="dxa"/>
            <w:left w:w="0" w:type="dxa"/>
            <w:bottom w:w="0" w:type="dxa"/>
            <w:right w:w="0" w:type="dxa"/>
          </w:tblCellMar>
        </w:tblPrEx>
        <w:trPr>
          <w:trHeight w:val="391" w:hRule="atLeast"/>
        </w:trPr>
        <w:tc>
          <w:tcPr>
            <w:tcW w:w="760" w:type="pct"/>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1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3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1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6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22"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收入决算表</w:t>
            </w:r>
          </w:p>
        </w:tc>
        <w:tc>
          <w:tcPr>
            <w:tcW w:w="36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6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6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255" w:hRule="atLeast"/>
        </w:trPr>
        <w:tc>
          <w:tcPr>
            <w:tcW w:w="76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3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1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6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2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6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6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6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8"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CellMar>
            <w:top w:w="0" w:type="dxa"/>
            <w:left w:w="0" w:type="dxa"/>
            <w:bottom w:w="0" w:type="dxa"/>
            <w:right w:w="0" w:type="dxa"/>
          </w:tblCellMar>
        </w:tblPrEx>
        <w:trPr>
          <w:trHeight w:val="255" w:hRule="atLeast"/>
        </w:trPr>
        <w:tc>
          <w:tcPr>
            <w:tcW w:w="760"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部门：湘西州妇女联合会</w:t>
            </w:r>
          </w:p>
        </w:tc>
        <w:tc>
          <w:tcPr>
            <w:tcW w:w="1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3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1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6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2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6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6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6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8"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2221" w:type="pct"/>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18" w:type="pct"/>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362" w:type="pct"/>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522" w:type="pct"/>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362" w:type="pct"/>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362" w:type="pct"/>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362" w:type="pct"/>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488" w:type="pct"/>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CellMar>
            <w:top w:w="0" w:type="dxa"/>
            <w:left w:w="0" w:type="dxa"/>
            <w:bottom w:w="0" w:type="dxa"/>
            <w:right w:w="0" w:type="dxa"/>
          </w:tblCellMar>
        </w:tblPrEx>
        <w:trPr>
          <w:trHeight w:val="308" w:hRule="atLeast"/>
        </w:trPr>
        <w:tc>
          <w:tcPr>
            <w:tcW w:w="784" w:type="pct"/>
            <w:gridSpan w:val="3"/>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436" w:type="pct"/>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318"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2"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2"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2"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2"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2"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8"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784" w:type="pct"/>
            <w:gridSpan w:val="3"/>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36" w:type="pct"/>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8"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2"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2"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2"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2"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2"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8"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784" w:type="pct"/>
            <w:gridSpan w:val="3"/>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36" w:type="pct"/>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8"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2"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2"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2"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2"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2"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8"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221" w:type="pct"/>
            <w:gridSpan w:val="4"/>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18"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62"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22"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62"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62"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62"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88"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CellMar>
            <w:top w:w="0" w:type="dxa"/>
            <w:left w:w="0" w:type="dxa"/>
            <w:bottom w:w="0" w:type="dxa"/>
            <w:right w:w="0" w:type="dxa"/>
          </w:tblCellMar>
        </w:tblPrEx>
        <w:trPr>
          <w:trHeight w:val="308" w:hRule="atLeast"/>
        </w:trPr>
        <w:tc>
          <w:tcPr>
            <w:tcW w:w="2221" w:type="pct"/>
            <w:gridSpan w:val="4"/>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1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481.25</w:t>
            </w:r>
          </w:p>
        </w:tc>
        <w:tc>
          <w:tcPr>
            <w:tcW w:w="3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432.39</w:t>
            </w:r>
          </w:p>
        </w:tc>
        <w:tc>
          <w:tcPr>
            <w:tcW w:w="52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48.86</w:t>
            </w:r>
          </w:p>
        </w:tc>
      </w:tr>
      <w:tr>
        <w:tblPrEx>
          <w:tblCellMar>
            <w:top w:w="0" w:type="dxa"/>
            <w:left w:w="0" w:type="dxa"/>
            <w:bottom w:w="0" w:type="dxa"/>
            <w:right w:w="0" w:type="dxa"/>
          </w:tblCellMar>
        </w:tblPrEx>
        <w:trPr>
          <w:trHeight w:val="308" w:hRule="atLeast"/>
        </w:trPr>
        <w:tc>
          <w:tcPr>
            <w:tcW w:w="78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1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3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392.70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343.84</w:t>
            </w:r>
          </w:p>
        </w:tc>
        <w:tc>
          <w:tcPr>
            <w:tcW w:w="5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48.86</w:t>
            </w:r>
          </w:p>
        </w:tc>
      </w:tr>
      <w:tr>
        <w:tblPrEx>
          <w:tblCellMar>
            <w:top w:w="0" w:type="dxa"/>
            <w:left w:w="0" w:type="dxa"/>
            <w:bottom w:w="0" w:type="dxa"/>
            <w:right w:w="0" w:type="dxa"/>
          </w:tblCellMar>
        </w:tblPrEx>
        <w:trPr>
          <w:trHeight w:val="308" w:hRule="atLeast"/>
        </w:trPr>
        <w:tc>
          <w:tcPr>
            <w:tcW w:w="78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w:t>
            </w:r>
          </w:p>
        </w:tc>
        <w:tc>
          <w:tcPr>
            <w:tcW w:w="1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发展与改革事务</w:t>
            </w:r>
          </w:p>
        </w:tc>
        <w:tc>
          <w:tcPr>
            <w:tcW w:w="3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5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8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2010499</w:t>
            </w:r>
          </w:p>
        </w:tc>
        <w:tc>
          <w:tcPr>
            <w:tcW w:w="1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其他发展与改革事务支出</w:t>
            </w:r>
          </w:p>
        </w:tc>
        <w:tc>
          <w:tcPr>
            <w:tcW w:w="3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5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8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w:t>
            </w:r>
          </w:p>
        </w:tc>
        <w:tc>
          <w:tcPr>
            <w:tcW w:w="1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群众团体事务</w:t>
            </w:r>
          </w:p>
        </w:tc>
        <w:tc>
          <w:tcPr>
            <w:tcW w:w="3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382.70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333.84</w:t>
            </w:r>
          </w:p>
        </w:tc>
        <w:tc>
          <w:tcPr>
            <w:tcW w:w="5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48.86</w:t>
            </w:r>
          </w:p>
        </w:tc>
      </w:tr>
      <w:tr>
        <w:tblPrEx>
          <w:tblCellMar>
            <w:top w:w="0" w:type="dxa"/>
            <w:left w:w="0" w:type="dxa"/>
            <w:bottom w:w="0" w:type="dxa"/>
            <w:right w:w="0" w:type="dxa"/>
          </w:tblCellMar>
        </w:tblPrEx>
        <w:trPr>
          <w:trHeight w:val="308" w:hRule="atLeast"/>
        </w:trPr>
        <w:tc>
          <w:tcPr>
            <w:tcW w:w="78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2012901</w:t>
            </w:r>
          </w:p>
        </w:tc>
        <w:tc>
          <w:tcPr>
            <w:tcW w:w="1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3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221.10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195.64</w:t>
            </w:r>
          </w:p>
        </w:tc>
        <w:tc>
          <w:tcPr>
            <w:tcW w:w="5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25.46</w:t>
            </w:r>
          </w:p>
        </w:tc>
      </w:tr>
      <w:tr>
        <w:tblPrEx>
          <w:tblCellMar>
            <w:top w:w="0" w:type="dxa"/>
            <w:left w:w="0" w:type="dxa"/>
            <w:bottom w:w="0" w:type="dxa"/>
            <w:right w:w="0" w:type="dxa"/>
          </w:tblCellMar>
        </w:tblPrEx>
        <w:trPr>
          <w:trHeight w:val="308" w:hRule="atLeast"/>
        </w:trPr>
        <w:tc>
          <w:tcPr>
            <w:tcW w:w="78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2012902</w:t>
            </w:r>
          </w:p>
        </w:tc>
        <w:tc>
          <w:tcPr>
            <w:tcW w:w="1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3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131.60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108.20</w:t>
            </w:r>
          </w:p>
        </w:tc>
        <w:tc>
          <w:tcPr>
            <w:tcW w:w="5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23.40</w:t>
            </w:r>
          </w:p>
        </w:tc>
      </w:tr>
      <w:tr>
        <w:tblPrEx>
          <w:tblCellMar>
            <w:top w:w="0" w:type="dxa"/>
            <w:left w:w="0" w:type="dxa"/>
            <w:bottom w:w="0" w:type="dxa"/>
            <w:right w:w="0" w:type="dxa"/>
          </w:tblCellMar>
        </w:tblPrEx>
        <w:trPr>
          <w:trHeight w:val="308" w:hRule="atLeast"/>
        </w:trPr>
        <w:tc>
          <w:tcPr>
            <w:tcW w:w="78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2012999</w:t>
            </w:r>
          </w:p>
        </w:tc>
        <w:tc>
          <w:tcPr>
            <w:tcW w:w="1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其他群众团体事务支出</w:t>
            </w:r>
          </w:p>
        </w:tc>
        <w:tc>
          <w:tcPr>
            <w:tcW w:w="3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5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8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3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34.54</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34.54</w:t>
            </w:r>
          </w:p>
        </w:tc>
        <w:tc>
          <w:tcPr>
            <w:tcW w:w="5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8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w:t>
            </w:r>
          </w:p>
        </w:tc>
        <w:tc>
          <w:tcPr>
            <w:tcW w:w="1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3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0.67</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0.67</w:t>
            </w:r>
          </w:p>
        </w:tc>
        <w:tc>
          <w:tcPr>
            <w:tcW w:w="5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8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2080109</w:t>
            </w:r>
          </w:p>
        </w:tc>
        <w:tc>
          <w:tcPr>
            <w:tcW w:w="1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社会保险经办机构</w:t>
            </w:r>
          </w:p>
        </w:tc>
        <w:tc>
          <w:tcPr>
            <w:tcW w:w="3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0.67</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0.67</w:t>
            </w:r>
          </w:p>
        </w:tc>
        <w:tc>
          <w:tcPr>
            <w:tcW w:w="5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8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1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3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33.87</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33.87</w:t>
            </w:r>
          </w:p>
        </w:tc>
        <w:tc>
          <w:tcPr>
            <w:tcW w:w="5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8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1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3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17.87</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17.87</w:t>
            </w:r>
          </w:p>
        </w:tc>
        <w:tc>
          <w:tcPr>
            <w:tcW w:w="5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8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1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3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5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8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1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3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5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8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1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3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5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8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1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3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5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8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1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3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5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8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1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3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5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8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2120899</w:t>
            </w:r>
          </w:p>
        </w:tc>
        <w:tc>
          <w:tcPr>
            <w:tcW w:w="1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其他国有土地使用权出让收入安排的支出</w:t>
            </w:r>
          </w:p>
        </w:tc>
        <w:tc>
          <w:tcPr>
            <w:tcW w:w="3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5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8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1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3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5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8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21399</w:t>
            </w:r>
          </w:p>
        </w:tc>
        <w:tc>
          <w:tcPr>
            <w:tcW w:w="1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其他农林水支出</w:t>
            </w:r>
          </w:p>
        </w:tc>
        <w:tc>
          <w:tcPr>
            <w:tcW w:w="3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5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8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2139999</w:t>
            </w:r>
          </w:p>
        </w:tc>
        <w:tc>
          <w:tcPr>
            <w:tcW w:w="1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其他农林水支出</w:t>
            </w:r>
          </w:p>
        </w:tc>
        <w:tc>
          <w:tcPr>
            <w:tcW w:w="3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5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8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1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商业服务业等支出</w:t>
            </w:r>
          </w:p>
        </w:tc>
        <w:tc>
          <w:tcPr>
            <w:tcW w:w="3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5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8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21602</w:t>
            </w:r>
          </w:p>
        </w:tc>
        <w:tc>
          <w:tcPr>
            <w:tcW w:w="1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商业流通事务</w:t>
            </w:r>
          </w:p>
        </w:tc>
        <w:tc>
          <w:tcPr>
            <w:tcW w:w="3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5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8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2160299</w:t>
            </w:r>
          </w:p>
        </w:tc>
        <w:tc>
          <w:tcPr>
            <w:tcW w:w="1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其他商业流通事务支出</w:t>
            </w:r>
          </w:p>
        </w:tc>
        <w:tc>
          <w:tcPr>
            <w:tcW w:w="3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5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8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1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3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5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8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1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3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5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8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1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3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5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5000" w:type="pct"/>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7"/>
        <w:tblW w:w="4998" w:type="pct"/>
        <w:tblInd w:w="0" w:type="dxa"/>
        <w:shd w:val="clear" w:color="auto" w:fill="auto"/>
        <w:tblLayout w:type="autofit"/>
        <w:tblCellMar>
          <w:top w:w="0" w:type="dxa"/>
          <w:left w:w="0" w:type="dxa"/>
          <w:bottom w:w="0" w:type="dxa"/>
          <w:right w:w="0" w:type="dxa"/>
        </w:tblCellMar>
      </w:tblPr>
      <w:tblGrid>
        <w:gridCol w:w="2230"/>
        <w:gridCol w:w="172"/>
        <w:gridCol w:w="172"/>
        <w:gridCol w:w="4210"/>
        <w:gridCol w:w="1437"/>
        <w:gridCol w:w="1530"/>
        <w:gridCol w:w="1344"/>
        <w:gridCol w:w="1437"/>
        <w:gridCol w:w="1437"/>
        <w:gridCol w:w="1453"/>
      </w:tblGrid>
      <w:tr>
        <w:tblPrEx>
          <w:shd w:val="clear" w:color="auto" w:fill="auto"/>
          <w:tblCellMar>
            <w:top w:w="0" w:type="dxa"/>
            <w:left w:w="0" w:type="dxa"/>
            <w:bottom w:w="0" w:type="dxa"/>
            <w:right w:w="0" w:type="dxa"/>
          </w:tblCellMar>
        </w:tblPrEx>
        <w:trPr>
          <w:trHeight w:val="390" w:hRule="atLeast"/>
        </w:trPr>
        <w:tc>
          <w:tcPr>
            <w:tcW w:w="623" w:type="pct"/>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9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7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2"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支出决算表</w:t>
            </w:r>
          </w:p>
        </w:tc>
        <w:tc>
          <w:tcPr>
            <w:tcW w:w="50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255" w:hRule="atLeast"/>
        </w:trPr>
        <w:tc>
          <w:tcPr>
            <w:tcW w:w="62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7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2"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CellMar>
            <w:top w:w="0" w:type="dxa"/>
            <w:left w:w="0" w:type="dxa"/>
            <w:bottom w:w="0" w:type="dxa"/>
            <w:right w:w="0" w:type="dxa"/>
          </w:tblCellMar>
        </w:tblPrEx>
        <w:trPr>
          <w:trHeight w:val="255" w:hRule="atLeast"/>
        </w:trPr>
        <w:tc>
          <w:tcPr>
            <w:tcW w:w="623"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部门：湘西州妇女联合会</w:t>
            </w:r>
          </w:p>
        </w:tc>
        <w:tc>
          <w:tcPr>
            <w:tcW w:w="9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7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2"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1983" w:type="pct"/>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02" w:type="pct"/>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502" w:type="pct"/>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502" w:type="pct"/>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502" w:type="pct"/>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502" w:type="pct"/>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502" w:type="pct"/>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308" w:hRule="atLeast"/>
        </w:trPr>
        <w:tc>
          <w:tcPr>
            <w:tcW w:w="807" w:type="pct"/>
            <w:gridSpan w:val="3"/>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176" w:type="pct"/>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502"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2"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2"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2"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2"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2"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7" w:type="pct"/>
            <w:gridSpan w:val="3"/>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6" w:type="pct"/>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2"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2"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2"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2"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2"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2"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7" w:type="pct"/>
            <w:gridSpan w:val="3"/>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6" w:type="pct"/>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2"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2"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2"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2"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2"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2"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983" w:type="pct"/>
            <w:gridSpan w:val="4"/>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02"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02"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02"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02"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02"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2"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08" w:hRule="atLeast"/>
        </w:trPr>
        <w:tc>
          <w:tcPr>
            <w:tcW w:w="1983" w:type="pct"/>
            <w:gridSpan w:val="4"/>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5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469.39</w:t>
            </w:r>
          </w:p>
        </w:tc>
        <w:tc>
          <w:tcPr>
            <w:tcW w:w="5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286.64</w:t>
            </w:r>
          </w:p>
        </w:tc>
        <w:tc>
          <w:tcPr>
            <w:tcW w:w="5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182.75</w:t>
            </w:r>
          </w:p>
        </w:tc>
        <w:tc>
          <w:tcPr>
            <w:tcW w:w="5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392.83</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233.09</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159.74</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人大事务</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2010102</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发展与改革事务</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2010499</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其他发展与改革事务支出</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群众团体事务</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381.29</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233.09</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148.20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2012901</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233.09</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233.09</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2012902</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118.20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118.20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2012999</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其他群众团体事务支出</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34.54</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34.54</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0.67</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0.67</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2080109</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社会保险经办机构</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0.67</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0.67</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33.87</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33.87</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17.87</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17.87</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2120899</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其他国有土地使用权出让收入安排的支出</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21399</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其他农林水支出</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2139999</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其他农林水支出</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0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pPr>
        <w:widowControl/>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7"/>
        <w:tblW w:w="4998" w:type="pct"/>
        <w:tblInd w:w="0" w:type="dxa"/>
        <w:shd w:val="clear" w:color="auto" w:fill="auto"/>
        <w:tblLayout w:type="autofit"/>
        <w:tblCellMar>
          <w:top w:w="0" w:type="dxa"/>
          <w:left w:w="0" w:type="dxa"/>
          <w:bottom w:w="0" w:type="dxa"/>
          <w:right w:w="0" w:type="dxa"/>
        </w:tblCellMar>
      </w:tblPr>
      <w:tblGrid>
        <w:gridCol w:w="3010"/>
        <w:gridCol w:w="508"/>
        <w:gridCol w:w="1527"/>
        <w:gridCol w:w="3630"/>
        <w:gridCol w:w="508"/>
        <w:gridCol w:w="1524"/>
        <w:gridCol w:w="1532"/>
        <w:gridCol w:w="1539"/>
        <w:gridCol w:w="1644"/>
      </w:tblGrid>
      <w:tr>
        <w:tblPrEx>
          <w:shd w:val="clear" w:color="auto" w:fill="auto"/>
          <w:tblCellMar>
            <w:top w:w="0" w:type="dxa"/>
            <w:left w:w="0" w:type="dxa"/>
            <w:bottom w:w="0" w:type="dxa"/>
            <w:right w:w="0" w:type="dxa"/>
          </w:tblCellMar>
        </w:tblPrEx>
        <w:trPr>
          <w:trHeight w:val="390" w:hRule="atLeast"/>
        </w:trPr>
        <w:tc>
          <w:tcPr>
            <w:tcW w:w="985" w:type="pct"/>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17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03"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财政拨款收入支出决算总表</w:t>
            </w:r>
          </w:p>
        </w:tc>
        <w:tc>
          <w:tcPr>
            <w:tcW w:w="17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4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255" w:hRule="atLeast"/>
        </w:trPr>
        <w:tc>
          <w:tcPr>
            <w:tcW w:w="985"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0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42"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CellMar>
            <w:top w:w="0" w:type="dxa"/>
            <w:left w:w="0" w:type="dxa"/>
            <w:bottom w:w="0" w:type="dxa"/>
            <w:right w:w="0" w:type="dxa"/>
          </w:tblCellMar>
        </w:tblPrEx>
        <w:trPr>
          <w:trHeight w:val="255" w:hRule="atLeast"/>
        </w:trPr>
        <w:tc>
          <w:tcPr>
            <w:tcW w:w="985"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部门：湘西州妇女联合会</w:t>
            </w:r>
          </w:p>
        </w:tc>
        <w:tc>
          <w:tcPr>
            <w:tcW w:w="17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0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42"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1663"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3336" w:type="pct"/>
            <w:gridSpan w:val="6"/>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292" w:hRule="atLeast"/>
        </w:trPr>
        <w:tc>
          <w:tcPr>
            <w:tcW w:w="985" w:type="pct"/>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71"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506"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1103"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71"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506" w:type="pct"/>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506"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506"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542"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tblCellMar>
            <w:top w:w="0" w:type="dxa"/>
            <w:left w:w="0" w:type="dxa"/>
            <w:bottom w:w="0" w:type="dxa"/>
            <w:right w:w="0" w:type="dxa"/>
          </w:tblCellMar>
        </w:tblPrEx>
        <w:trPr>
          <w:trHeight w:val="615" w:hRule="atLeast"/>
        </w:trPr>
        <w:tc>
          <w:tcPr>
            <w:tcW w:w="985" w:type="pct"/>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1"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6"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3"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1"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6" w:type="pct"/>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6"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6"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2"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985"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0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4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308" w:hRule="atLeast"/>
        </w:trPr>
        <w:tc>
          <w:tcPr>
            <w:tcW w:w="985"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427.39</w:t>
            </w:r>
          </w:p>
        </w:tc>
        <w:tc>
          <w:tcPr>
            <w:tcW w:w="110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346.12</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346.12</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85"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0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85"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三、国有资本经营财政拨款</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85"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85"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85"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85"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85"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34.54</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34.54</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85"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85"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85"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54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85"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85"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85"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85"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85"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85"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85"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85"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85"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85"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85"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85"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85"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85"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85"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85"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432.39</w:t>
            </w:r>
          </w:p>
        </w:tc>
        <w:tc>
          <w:tcPr>
            <w:tcW w:w="110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422.68</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419.67</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54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85"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16.71</w:t>
            </w:r>
          </w:p>
        </w:tc>
        <w:tc>
          <w:tcPr>
            <w:tcW w:w="110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26.42</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24.43</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c>
          <w:tcPr>
            <w:tcW w:w="54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85"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16.71</w:t>
            </w:r>
          </w:p>
        </w:tc>
        <w:tc>
          <w:tcPr>
            <w:tcW w:w="110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4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985"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4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985"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4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985" w:type="pc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71" w:type="pct"/>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449.10</w:t>
            </w:r>
          </w:p>
        </w:tc>
        <w:tc>
          <w:tcPr>
            <w:tcW w:w="110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7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449.10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444.10</w:t>
            </w:r>
          </w:p>
        </w:tc>
        <w:tc>
          <w:tcPr>
            <w:tcW w:w="50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54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4457" w:type="pct"/>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542"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bl>
    <w:p>
      <w:pPr>
        <w:widowControl/>
        <w:ind w:left="93"/>
        <w:jc w:val="both"/>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7"/>
        <w:tblW w:w="4999" w:type="pct"/>
        <w:tblInd w:w="0" w:type="dxa"/>
        <w:shd w:val="clear" w:color="auto" w:fill="auto"/>
        <w:tblLayout w:type="autofit"/>
        <w:tblCellMar>
          <w:top w:w="0" w:type="dxa"/>
          <w:left w:w="0" w:type="dxa"/>
          <w:bottom w:w="0" w:type="dxa"/>
          <w:right w:w="0" w:type="dxa"/>
        </w:tblCellMar>
      </w:tblPr>
      <w:tblGrid>
        <w:gridCol w:w="2230"/>
        <w:gridCol w:w="36"/>
        <w:gridCol w:w="36"/>
        <w:gridCol w:w="4131"/>
        <w:gridCol w:w="4530"/>
        <w:gridCol w:w="2229"/>
        <w:gridCol w:w="2233"/>
      </w:tblGrid>
      <w:tr>
        <w:tblPrEx>
          <w:shd w:val="clear" w:color="auto" w:fill="auto"/>
          <w:tblCellMar>
            <w:top w:w="0" w:type="dxa"/>
            <w:left w:w="0" w:type="dxa"/>
            <w:bottom w:w="0" w:type="dxa"/>
            <w:right w:w="0" w:type="dxa"/>
          </w:tblCellMar>
        </w:tblPrEx>
        <w:trPr>
          <w:trHeight w:val="390" w:hRule="atLeast"/>
        </w:trPr>
        <w:tc>
          <w:tcPr>
            <w:tcW w:w="821" w:type="pct"/>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12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4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29"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一般公共预算财政拨款支出决算表</w:t>
            </w:r>
          </w:p>
        </w:tc>
        <w:tc>
          <w:tcPr>
            <w:tcW w:w="82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2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255" w:hRule="atLeast"/>
        </w:trPr>
        <w:tc>
          <w:tcPr>
            <w:tcW w:w="82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4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2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2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29"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CellMar>
            <w:top w:w="0" w:type="dxa"/>
            <w:left w:w="0" w:type="dxa"/>
            <w:bottom w:w="0" w:type="dxa"/>
            <w:right w:w="0" w:type="dxa"/>
          </w:tblCellMar>
        </w:tblPrEx>
        <w:trPr>
          <w:trHeight w:val="255" w:hRule="atLeast"/>
        </w:trPr>
        <w:tc>
          <w:tcPr>
            <w:tcW w:w="821"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部门：湘西州妇女联合会</w:t>
            </w:r>
          </w:p>
        </w:tc>
        <w:tc>
          <w:tcPr>
            <w:tcW w:w="12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4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2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2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29"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2512" w:type="pct"/>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487" w:type="pct"/>
            <w:gridSpan w:val="3"/>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308" w:hRule="atLeast"/>
        </w:trPr>
        <w:tc>
          <w:tcPr>
            <w:tcW w:w="1064" w:type="pct"/>
            <w:gridSpan w:val="3"/>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448" w:type="pct"/>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29"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829"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829"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277" w:hRule="atLeast"/>
        </w:trPr>
        <w:tc>
          <w:tcPr>
            <w:tcW w:w="1064" w:type="pct"/>
            <w:gridSpan w:val="3"/>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8" w:type="pct"/>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9"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9"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9"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064" w:type="pct"/>
            <w:gridSpan w:val="3"/>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8" w:type="pct"/>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9"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9"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9"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512" w:type="pct"/>
            <w:gridSpan w:val="4"/>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82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2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2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trPr>
        <w:tc>
          <w:tcPr>
            <w:tcW w:w="2512" w:type="pct"/>
            <w:gridSpan w:val="4"/>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2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419.67</w:t>
            </w:r>
          </w:p>
        </w:tc>
        <w:tc>
          <w:tcPr>
            <w:tcW w:w="82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257.23</w:t>
            </w:r>
          </w:p>
        </w:tc>
        <w:tc>
          <w:tcPr>
            <w:tcW w:w="82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162.44</w:t>
            </w:r>
          </w:p>
        </w:tc>
      </w:tr>
      <w:tr>
        <w:tblPrEx>
          <w:tblCellMar>
            <w:top w:w="0" w:type="dxa"/>
            <w:left w:w="0" w:type="dxa"/>
            <w:bottom w:w="0" w:type="dxa"/>
            <w:right w:w="0" w:type="dxa"/>
          </w:tblCellMar>
        </w:tblPrEx>
        <w:trPr>
          <w:trHeight w:val="308" w:hRule="atLeast"/>
        </w:trPr>
        <w:tc>
          <w:tcPr>
            <w:tcW w:w="106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346.12</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203.68</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142.44</w:t>
            </w:r>
          </w:p>
        </w:tc>
      </w:tr>
      <w:tr>
        <w:tblPrEx>
          <w:tblCellMar>
            <w:top w:w="0" w:type="dxa"/>
            <w:left w:w="0" w:type="dxa"/>
            <w:bottom w:w="0" w:type="dxa"/>
            <w:right w:w="0" w:type="dxa"/>
          </w:tblCellMar>
        </w:tblPrEx>
        <w:trPr>
          <w:trHeight w:val="308" w:hRule="atLeast"/>
        </w:trPr>
        <w:tc>
          <w:tcPr>
            <w:tcW w:w="106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人大事务</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w:t>
            </w:r>
          </w:p>
        </w:tc>
      </w:tr>
      <w:tr>
        <w:tblPrEx>
          <w:tblCellMar>
            <w:top w:w="0" w:type="dxa"/>
            <w:left w:w="0" w:type="dxa"/>
            <w:bottom w:w="0" w:type="dxa"/>
            <w:right w:w="0" w:type="dxa"/>
          </w:tblCellMar>
        </w:tblPrEx>
        <w:trPr>
          <w:trHeight w:val="308" w:hRule="atLeast"/>
        </w:trPr>
        <w:tc>
          <w:tcPr>
            <w:tcW w:w="106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2010102</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w:t>
            </w:r>
          </w:p>
        </w:tc>
      </w:tr>
      <w:tr>
        <w:tblPrEx>
          <w:tblCellMar>
            <w:top w:w="0" w:type="dxa"/>
            <w:left w:w="0" w:type="dxa"/>
            <w:bottom w:w="0" w:type="dxa"/>
            <w:right w:w="0" w:type="dxa"/>
          </w:tblCellMar>
        </w:tblPrEx>
        <w:trPr>
          <w:trHeight w:val="308" w:hRule="atLeast"/>
        </w:trPr>
        <w:tc>
          <w:tcPr>
            <w:tcW w:w="106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发展与改革事务</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r>
      <w:tr>
        <w:tblPrEx>
          <w:tblCellMar>
            <w:top w:w="0" w:type="dxa"/>
            <w:left w:w="0" w:type="dxa"/>
            <w:bottom w:w="0" w:type="dxa"/>
            <w:right w:w="0" w:type="dxa"/>
          </w:tblCellMar>
        </w:tblPrEx>
        <w:trPr>
          <w:trHeight w:val="308" w:hRule="atLeast"/>
        </w:trPr>
        <w:tc>
          <w:tcPr>
            <w:tcW w:w="106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2010499</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其他发展与改革事务支出</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r>
      <w:tr>
        <w:tblPrEx>
          <w:tblCellMar>
            <w:top w:w="0" w:type="dxa"/>
            <w:left w:w="0" w:type="dxa"/>
            <w:bottom w:w="0" w:type="dxa"/>
            <w:right w:w="0" w:type="dxa"/>
          </w:tblCellMar>
        </w:tblPrEx>
        <w:trPr>
          <w:trHeight w:val="308" w:hRule="atLeast"/>
        </w:trPr>
        <w:tc>
          <w:tcPr>
            <w:tcW w:w="106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群众团体事务</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334.58</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203.68</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130.90</w:t>
            </w:r>
          </w:p>
        </w:tc>
      </w:tr>
      <w:tr>
        <w:tblPrEx>
          <w:tblCellMar>
            <w:top w:w="0" w:type="dxa"/>
            <w:left w:w="0" w:type="dxa"/>
            <w:bottom w:w="0" w:type="dxa"/>
            <w:right w:w="0" w:type="dxa"/>
          </w:tblCellMar>
        </w:tblPrEx>
        <w:trPr>
          <w:trHeight w:val="308" w:hRule="atLeast"/>
        </w:trPr>
        <w:tc>
          <w:tcPr>
            <w:tcW w:w="106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2012901</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203.68</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203.68</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06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2012902</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100.90</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100.90</w:t>
            </w:r>
          </w:p>
        </w:tc>
      </w:tr>
      <w:tr>
        <w:tblPrEx>
          <w:tblCellMar>
            <w:top w:w="0" w:type="dxa"/>
            <w:left w:w="0" w:type="dxa"/>
            <w:bottom w:w="0" w:type="dxa"/>
            <w:right w:w="0" w:type="dxa"/>
          </w:tblCellMar>
        </w:tblPrEx>
        <w:trPr>
          <w:trHeight w:val="308" w:hRule="atLeast"/>
        </w:trPr>
        <w:tc>
          <w:tcPr>
            <w:tcW w:w="106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2012999</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其他群众团体事务支出</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r>
      <w:tr>
        <w:tblPrEx>
          <w:tblCellMar>
            <w:top w:w="0" w:type="dxa"/>
            <w:left w:w="0" w:type="dxa"/>
            <w:bottom w:w="0" w:type="dxa"/>
            <w:right w:w="0" w:type="dxa"/>
          </w:tblCellMar>
        </w:tblPrEx>
        <w:trPr>
          <w:trHeight w:val="308" w:hRule="atLeast"/>
        </w:trPr>
        <w:tc>
          <w:tcPr>
            <w:tcW w:w="106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34.54</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34.54</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06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0.67</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0.67</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06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2080109</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社会保险经办机构</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0.67</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0.67</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06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33.87</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33.87</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06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17.87</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17.87</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06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06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06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06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06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r>
      <w:tr>
        <w:tblPrEx>
          <w:tblCellMar>
            <w:top w:w="0" w:type="dxa"/>
            <w:left w:w="0" w:type="dxa"/>
            <w:bottom w:w="0" w:type="dxa"/>
            <w:right w:w="0" w:type="dxa"/>
          </w:tblCellMar>
        </w:tblPrEx>
        <w:trPr>
          <w:trHeight w:val="308" w:hRule="atLeast"/>
        </w:trPr>
        <w:tc>
          <w:tcPr>
            <w:tcW w:w="106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21399</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其他农林水支出</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r>
      <w:tr>
        <w:tblPrEx>
          <w:tblCellMar>
            <w:top w:w="0" w:type="dxa"/>
            <w:left w:w="0" w:type="dxa"/>
            <w:bottom w:w="0" w:type="dxa"/>
            <w:right w:w="0" w:type="dxa"/>
          </w:tblCellMar>
        </w:tblPrEx>
        <w:trPr>
          <w:trHeight w:val="308" w:hRule="atLeast"/>
        </w:trPr>
        <w:tc>
          <w:tcPr>
            <w:tcW w:w="106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2139999</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其他农林水支出</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r>
      <w:tr>
        <w:tblPrEx>
          <w:tblCellMar>
            <w:top w:w="0" w:type="dxa"/>
            <w:left w:w="0" w:type="dxa"/>
            <w:bottom w:w="0" w:type="dxa"/>
            <w:right w:w="0" w:type="dxa"/>
          </w:tblCellMar>
        </w:tblPrEx>
        <w:trPr>
          <w:trHeight w:val="308" w:hRule="atLeast"/>
        </w:trPr>
        <w:tc>
          <w:tcPr>
            <w:tcW w:w="106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06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06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8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5000" w:type="pct"/>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bl>
    <w:p>
      <w:pPr>
        <w:widowControl/>
        <w:ind w:left="93"/>
        <w:jc w:val="both"/>
        <w:rPr>
          <w:rFonts w:ascii="Times New Roman" w:hAnsi="Times New Roman" w:eastAsia="方正小标宋_GBK" w:cs="Times New Roman"/>
          <w:color w:val="000000"/>
          <w:kern w:val="0"/>
          <w:sz w:val="36"/>
          <w:szCs w:val="21"/>
        </w:rPr>
      </w:pPr>
    </w:p>
    <w:p>
      <w:pPr>
        <w:widowControl/>
        <w:jc w:val="center"/>
        <w:rPr>
          <w:rFonts w:ascii="Times New Roman" w:hAnsi="Times New Roman" w:eastAsia="方正小标宋_GBK" w:cs="Times New Roman"/>
          <w:kern w:val="0"/>
          <w:sz w:val="36"/>
          <w:szCs w:val="36"/>
        </w:rPr>
      </w:pPr>
      <w:bookmarkStart w:id="0" w:name="RANGE!A1:I22"/>
      <w:bookmarkEnd w:id="0"/>
      <w:bookmarkStart w:id="1" w:name="RANGE!A1:F16"/>
    </w:p>
    <w:p>
      <w:pPr>
        <w:widowControl/>
        <w:jc w:val="center"/>
        <w:rPr>
          <w:rFonts w:ascii="Times New Roman" w:hAnsi="Times New Roman" w:eastAsia="方正小标宋_GBK" w:cs="Times New Roman"/>
          <w:kern w:val="0"/>
          <w:sz w:val="36"/>
          <w:szCs w:val="36"/>
        </w:rPr>
      </w:pPr>
    </w:p>
    <w:bookmarkEnd w:id="1"/>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0" w:type="auto"/>
        <w:tblInd w:w="0" w:type="dxa"/>
        <w:tblLayout w:type="autofit"/>
        <w:tblCellMar>
          <w:top w:w="0" w:type="dxa"/>
          <w:left w:w="108" w:type="dxa"/>
          <w:bottom w:w="0" w:type="dxa"/>
          <w:right w:w="108" w:type="dxa"/>
        </w:tblCellMar>
      </w:tblPr>
      <w:tblGrid>
        <w:gridCol w:w="1338"/>
        <w:gridCol w:w="3366"/>
        <w:gridCol w:w="846"/>
        <w:gridCol w:w="1062"/>
        <w:gridCol w:w="2316"/>
        <w:gridCol w:w="741"/>
        <w:gridCol w:w="998"/>
        <w:gridCol w:w="4206"/>
        <w:gridCol w:w="741"/>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湘西州妇女联合会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147.49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40.54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64.69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4.43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34.22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15.47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0.83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11.26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3.67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18.62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69.19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0.51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12.63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6.77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56.17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3.63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13.19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4.63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216.69</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40.54</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firstLine="420" w:firstLineChars="2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湘西州妇女联合会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1.53</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0.50</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1.03</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tbl>
      <w:tblPr>
        <w:tblStyle w:val="7"/>
        <w:tblW w:w="5000" w:type="pct"/>
        <w:tblInd w:w="0" w:type="dxa"/>
        <w:shd w:val="clear" w:color="auto" w:fill="auto"/>
        <w:tblLayout w:type="autofit"/>
        <w:tblCellMar>
          <w:top w:w="0" w:type="dxa"/>
          <w:left w:w="0" w:type="dxa"/>
          <w:bottom w:w="0" w:type="dxa"/>
          <w:right w:w="0" w:type="dxa"/>
        </w:tblCellMar>
      </w:tblPr>
      <w:tblGrid>
        <w:gridCol w:w="2230"/>
        <w:gridCol w:w="36"/>
        <w:gridCol w:w="42"/>
        <w:gridCol w:w="4211"/>
        <w:gridCol w:w="1030"/>
        <w:gridCol w:w="1363"/>
        <w:gridCol w:w="1493"/>
        <w:gridCol w:w="1401"/>
        <w:gridCol w:w="1731"/>
        <w:gridCol w:w="1891"/>
      </w:tblGrid>
      <w:tr>
        <w:tblPrEx>
          <w:shd w:val="clear" w:color="auto" w:fill="auto"/>
          <w:tblCellMar>
            <w:top w:w="0" w:type="dxa"/>
            <w:left w:w="0" w:type="dxa"/>
            <w:bottom w:w="0" w:type="dxa"/>
            <w:right w:w="0" w:type="dxa"/>
          </w:tblCellMar>
        </w:tblPrEx>
        <w:trPr>
          <w:trHeight w:val="390" w:hRule="atLeast"/>
        </w:trPr>
        <w:tc>
          <w:tcPr>
            <w:tcW w:w="722" w:type="pct"/>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1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141"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c>
          <w:tcPr>
            <w:tcW w:w="48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1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255" w:hRule="atLeast"/>
        </w:trPr>
        <w:tc>
          <w:tcPr>
            <w:tcW w:w="72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6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3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10"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CellMar>
            <w:top w:w="0" w:type="dxa"/>
            <w:left w:w="0" w:type="dxa"/>
            <w:bottom w:w="0" w:type="dxa"/>
            <w:right w:w="0" w:type="dxa"/>
          </w:tblCellMar>
        </w:tblPrEx>
        <w:trPr>
          <w:trHeight w:val="255" w:hRule="atLeast"/>
        </w:trPr>
        <w:tc>
          <w:tcPr>
            <w:tcW w:w="722"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部门：湘西州妇女联合会</w:t>
            </w:r>
          </w:p>
        </w:tc>
        <w:tc>
          <w:tcPr>
            <w:tcW w:w="1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6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3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10"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2112" w:type="pct"/>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34" w:type="pct"/>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41" w:type="pct"/>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1499" w:type="pct"/>
            <w:gridSpan w:val="3"/>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610" w:type="pct"/>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CellMar>
            <w:top w:w="0" w:type="dxa"/>
            <w:left w:w="0" w:type="dxa"/>
            <w:bottom w:w="0" w:type="dxa"/>
            <w:right w:w="0" w:type="dxa"/>
          </w:tblCellMar>
        </w:tblPrEx>
        <w:trPr>
          <w:trHeight w:val="308" w:hRule="atLeast"/>
        </w:trPr>
        <w:tc>
          <w:tcPr>
            <w:tcW w:w="747" w:type="pct"/>
            <w:gridSpan w:val="3"/>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364" w:type="pct"/>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334"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1"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4"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454"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560"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610"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747" w:type="pct"/>
            <w:gridSpan w:val="3"/>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4" w:type="pct"/>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4"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1"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4"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4"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0"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0"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747" w:type="pct"/>
            <w:gridSpan w:val="3"/>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4" w:type="pct"/>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4"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1"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4"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4"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0"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0" w:type="pct"/>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112" w:type="pct"/>
            <w:gridSpan w:val="4"/>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3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5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6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1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08" w:hRule="atLeast"/>
        </w:trPr>
        <w:tc>
          <w:tcPr>
            <w:tcW w:w="2112" w:type="pct"/>
            <w:gridSpan w:val="4"/>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3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0.00</w:t>
            </w:r>
          </w:p>
        </w:tc>
        <w:tc>
          <w:tcPr>
            <w:tcW w:w="4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5.00</w:t>
            </w:r>
          </w:p>
        </w:tc>
        <w:tc>
          <w:tcPr>
            <w:tcW w:w="48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3.01</w:t>
            </w:r>
          </w:p>
        </w:tc>
        <w:tc>
          <w:tcPr>
            <w:tcW w:w="45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0.00</w:t>
            </w:r>
          </w:p>
        </w:tc>
        <w:tc>
          <w:tcPr>
            <w:tcW w:w="56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3.01</w:t>
            </w:r>
          </w:p>
        </w:tc>
        <w:tc>
          <w:tcPr>
            <w:tcW w:w="61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1.99</w:t>
            </w:r>
          </w:p>
        </w:tc>
      </w:tr>
      <w:tr>
        <w:tblPrEx>
          <w:tblCellMar>
            <w:top w:w="0" w:type="dxa"/>
            <w:left w:w="0" w:type="dxa"/>
            <w:bottom w:w="0" w:type="dxa"/>
            <w:right w:w="0" w:type="dxa"/>
          </w:tblCellMar>
        </w:tblPrEx>
        <w:trPr>
          <w:trHeight w:val="308" w:hRule="atLeast"/>
        </w:trPr>
        <w:tc>
          <w:tcPr>
            <w:tcW w:w="74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13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3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4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6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r>
      <w:tr>
        <w:tblPrEx>
          <w:tblCellMar>
            <w:top w:w="0" w:type="dxa"/>
            <w:left w:w="0" w:type="dxa"/>
            <w:bottom w:w="0" w:type="dxa"/>
            <w:right w:w="0" w:type="dxa"/>
          </w:tblCellMar>
        </w:tblPrEx>
        <w:trPr>
          <w:trHeight w:val="308" w:hRule="atLeast"/>
        </w:trPr>
        <w:tc>
          <w:tcPr>
            <w:tcW w:w="74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13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3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4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6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r>
      <w:tr>
        <w:tblPrEx>
          <w:tblCellMar>
            <w:top w:w="0" w:type="dxa"/>
            <w:left w:w="0" w:type="dxa"/>
            <w:bottom w:w="0" w:type="dxa"/>
            <w:right w:w="0" w:type="dxa"/>
          </w:tblCellMar>
        </w:tblPrEx>
        <w:trPr>
          <w:trHeight w:val="308" w:hRule="atLeast"/>
        </w:trPr>
        <w:tc>
          <w:tcPr>
            <w:tcW w:w="74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2120899</w:t>
            </w:r>
          </w:p>
        </w:tc>
        <w:tc>
          <w:tcPr>
            <w:tcW w:w="13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其他国有土地使用权出让收入安排的支出</w:t>
            </w:r>
          </w:p>
        </w:tc>
        <w:tc>
          <w:tcPr>
            <w:tcW w:w="3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4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6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r>
      <w:tr>
        <w:tblPrEx>
          <w:tblCellMar>
            <w:top w:w="0" w:type="dxa"/>
            <w:left w:w="0" w:type="dxa"/>
            <w:bottom w:w="0" w:type="dxa"/>
            <w:right w:w="0" w:type="dxa"/>
          </w:tblCellMar>
        </w:tblPrEx>
        <w:trPr>
          <w:trHeight w:val="308" w:hRule="atLeast"/>
        </w:trPr>
        <w:tc>
          <w:tcPr>
            <w:tcW w:w="74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74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74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74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74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pPr>
        <w:widowControl/>
        <w:jc w:val="left"/>
        <w:rPr>
          <w:rFonts w:ascii="黑体" w:hAnsi="黑体" w:eastAsia="黑体"/>
          <w:szCs w:val="21"/>
        </w:rPr>
      </w:pPr>
      <w:r>
        <w:rPr>
          <w:rFonts w:ascii="黑体" w:hAnsi="黑体" w:eastAsia="黑体"/>
          <w:szCs w:val="21"/>
        </w:rPr>
        <w:br w:type="page"/>
      </w:r>
    </w:p>
    <w:tbl>
      <w:tblPr>
        <w:tblStyle w:val="7"/>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部门：湘西州妇女联合会</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1"/>
        <w:rPr>
          <w:sz w:val="72"/>
          <w:szCs w:val="7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w:t>
      </w:r>
      <w:r>
        <w:rPr>
          <w:rFonts w:hint="eastAsia" w:asciiTheme="minorEastAsia" w:hAnsiTheme="minorEastAsia" w:eastAsiaTheme="minorEastAsia"/>
          <w:sz w:val="32"/>
          <w:szCs w:val="32"/>
          <w:lang w:eastAsia="zh-CN"/>
        </w:rPr>
        <w:t>收入</w:t>
      </w:r>
      <w:r>
        <w:rPr>
          <w:rFonts w:hint="eastAsia" w:asciiTheme="minorEastAsia" w:hAnsiTheme="minorEastAsia" w:eastAsiaTheme="minorEastAsia"/>
          <w:sz w:val="32"/>
          <w:szCs w:val="32"/>
        </w:rPr>
        <w:t>总计501.91万元。与</w:t>
      </w:r>
      <w:r>
        <w:rPr>
          <w:rFonts w:hint="eastAsia" w:asciiTheme="minorEastAsia" w:hAnsiTheme="minorEastAsia" w:eastAsiaTheme="minorEastAsia"/>
          <w:sz w:val="32"/>
          <w:szCs w:val="32"/>
          <w:lang w:val="en-US" w:eastAsia="zh-CN"/>
        </w:rPr>
        <w:t>2019年</w:t>
      </w:r>
      <w:r>
        <w:rPr>
          <w:rFonts w:hint="eastAsia" w:asciiTheme="minorEastAsia" w:hAnsiTheme="minorEastAsia" w:eastAsiaTheme="minorEastAsia"/>
          <w:sz w:val="32"/>
          <w:szCs w:val="32"/>
        </w:rPr>
        <w:t>相比，增加</w:t>
      </w:r>
      <w:r>
        <w:rPr>
          <w:rFonts w:hint="eastAsia" w:asciiTheme="minorEastAsia" w:hAnsiTheme="minorEastAsia" w:eastAsiaTheme="minorEastAsia"/>
          <w:sz w:val="32"/>
          <w:szCs w:val="32"/>
          <w:lang w:val="en-US" w:eastAsia="zh-CN"/>
        </w:rPr>
        <w:t>57.54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12.95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财拨拨款增加、其他收入增加。</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rPr>
        <w:t>总计501.91万元。与</w:t>
      </w:r>
      <w:r>
        <w:rPr>
          <w:rFonts w:hint="eastAsia" w:asciiTheme="minorEastAsia" w:hAnsiTheme="minorEastAsia" w:eastAsiaTheme="minorEastAsia"/>
          <w:sz w:val="32"/>
          <w:szCs w:val="32"/>
          <w:lang w:val="en-US" w:eastAsia="zh-CN"/>
        </w:rPr>
        <w:t>2019年</w:t>
      </w:r>
      <w:r>
        <w:rPr>
          <w:rFonts w:hint="eastAsia" w:asciiTheme="minorEastAsia" w:hAnsiTheme="minorEastAsia" w:eastAsiaTheme="minorEastAsia"/>
          <w:sz w:val="32"/>
          <w:szCs w:val="32"/>
        </w:rPr>
        <w:t>相比，增加</w:t>
      </w:r>
      <w:r>
        <w:rPr>
          <w:rFonts w:hint="eastAsia" w:asciiTheme="minorEastAsia" w:hAnsiTheme="minorEastAsia" w:eastAsiaTheme="minorEastAsia"/>
          <w:sz w:val="32"/>
          <w:szCs w:val="32"/>
          <w:lang w:val="en-US" w:eastAsia="zh-CN"/>
        </w:rPr>
        <w:t>57.54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12.95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收入增加，支出增加</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本年收入合计481.25万元，其中：财政拨款收入432.39万元，占</w:t>
      </w:r>
      <w:r>
        <w:rPr>
          <w:rFonts w:hint="eastAsia" w:asciiTheme="minorEastAsia" w:hAnsiTheme="minorEastAsia" w:eastAsiaTheme="minorEastAsia"/>
          <w:sz w:val="32"/>
          <w:szCs w:val="32"/>
          <w:lang w:val="en-US" w:eastAsia="zh-CN"/>
        </w:rPr>
        <w:t>89.85</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%；其他收入48.86万元，占</w:t>
      </w:r>
      <w:r>
        <w:rPr>
          <w:rFonts w:hint="eastAsia" w:asciiTheme="minorEastAsia" w:hAnsiTheme="minorEastAsia" w:eastAsiaTheme="minorEastAsia"/>
          <w:sz w:val="32"/>
          <w:szCs w:val="32"/>
          <w:lang w:val="en-US" w:eastAsia="zh-CN"/>
        </w:rPr>
        <w:t>10.15</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本年支出合计469.39万元，其中：基本支出286.64万元，占</w:t>
      </w:r>
      <w:r>
        <w:rPr>
          <w:rFonts w:hint="eastAsia" w:asciiTheme="minorEastAsia" w:hAnsiTheme="minorEastAsia" w:eastAsiaTheme="minorEastAsia"/>
          <w:sz w:val="32"/>
          <w:szCs w:val="32"/>
          <w:lang w:val="en-US" w:eastAsia="zh-CN"/>
        </w:rPr>
        <w:t>61.07</w:t>
      </w:r>
      <w:r>
        <w:rPr>
          <w:rFonts w:hint="eastAsia" w:asciiTheme="minorEastAsia" w:hAnsiTheme="minorEastAsia" w:eastAsiaTheme="minorEastAsia"/>
          <w:sz w:val="32"/>
          <w:szCs w:val="32"/>
        </w:rPr>
        <w:t>%；项目支出182.75万元，占</w:t>
      </w:r>
      <w:r>
        <w:rPr>
          <w:rFonts w:hint="eastAsia" w:asciiTheme="minorEastAsia" w:hAnsiTheme="minorEastAsia" w:eastAsiaTheme="minorEastAsia"/>
          <w:sz w:val="32"/>
          <w:szCs w:val="32"/>
          <w:lang w:val="en-US" w:eastAsia="zh-CN"/>
        </w:rPr>
        <w:t>38.93</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四、财政拨款收入支出决算总体情况说明</w:t>
      </w:r>
    </w:p>
    <w:p>
      <w:pPr>
        <w:pStyle w:val="11"/>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w:t>
      </w:r>
      <w:r>
        <w:rPr>
          <w:rFonts w:hint="eastAsia" w:asciiTheme="minorEastAsia" w:hAnsiTheme="minorEastAsia" w:eastAsiaTheme="minorEastAsia"/>
          <w:sz w:val="32"/>
          <w:szCs w:val="32"/>
          <w:lang w:val="en-US" w:eastAsia="zh-CN"/>
        </w:rPr>
        <w:t>收入</w:t>
      </w:r>
      <w:r>
        <w:rPr>
          <w:rFonts w:hint="eastAsia" w:asciiTheme="minorEastAsia" w:hAnsiTheme="minorEastAsia" w:eastAsiaTheme="minorEastAsia"/>
          <w:sz w:val="32"/>
          <w:szCs w:val="32"/>
        </w:rPr>
        <w:t>总计449.1万元，与</w:t>
      </w:r>
      <w:r>
        <w:rPr>
          <w:rFonts w:hint="eastAsia" w:asciiTheme="minorEastAsia" w:hAnsiTheme="minorEastAsia" w:eastAsiaTheme="minorEastAsia"/>
          <w:sz w:val="32"/>
          <w:szCs w:val="32"/>
          <w:lang w:val="en-US" w:eastAsia="zh-CN"/>
        </w:rPr>
        <w:t>2019</w:t>
      </w:r>
      <w:r>
        <w:rPr>
          <w:rFonts w:hint="eastAsia" w:asciiTheme="minorEastAsia" w:hAnsiTheme="minorEastAsia" w:eastAsiaTheme="minorEastAsia"/>
          <w:sz w:val="32"/>
          <w:szCs w:val="32"/>
        </w:rPr>
        <w:t>年相比，增加</w:t>
      </w:r>
      <w:r>
        <w:rPr>
          <w:rFonts w:hint="eastAsia" w:asciiTheme="minorEastAsia" w:hAnsiTheme="minorEastAsia" w:eastAsiaTheme="minorEastAsia"/>
          <w:sz w:val="32"/>
          <w:szCs w:val="32"/>
          <w:lang w:val="en-US" w:eastAsia="zh-CN"/>
        </w:rPr>
        <w:t>26.51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6.27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财政拨款增加</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rPr>
        <w:t>总计449.1万元，与</w:t>
      </w:r>
      <w:r>
        <w:rPr>
          <w:rFonts w:hint="eastAsia" w:asciiTheme="minorEastAsia" w:hAnsiTheme="minorEastAsia" w:eastAsiaTheme="minorEastAsia"/>
          <w:sz w:val="32"/>
          <w:szCs w:val="32"/>
          <w:lang w:val="en-US" w:eastAsia="zh-CN"/>
        </w:rPr>
        <w:t>2019</w:t>
      </w:r>
      <w:r>
        <w:rPr>
          <w:rFonts w:hint="eastAsia" w:asciiTheme="minorEastAsia" w:hAnsiTheme="minorEastAsia" w:eastAsiaTheme="minorEastAsia"/>
          <w:sz w:val="32"/>
          <w:szCs w:val="32"/>
        </w:rPr>
        <w:t>年相比，增加</w:t>
      </w:r>
      <w:r>
        <w:rPr>
          <w:rFonts w:hint="eastAsia" w:asciiTheme="minorEastAsia" w:hAnsiTheme="minorEastAsia" w:eastAsiaTheme="minorEastAsia"/>
          <w:sz w:val="32"/>
          <w:szCs w:val="32"/>
          <w:lang w:val="en-US" w:eastAsia="zh-CN"/>
        </w:rPr>
        <w:t>26.51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6.27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财政拨款增加，支出增加</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2020年度财政拨款支出419.67万元，占本年支出合计的</w:t>
      </w:r>
      <w:r>
        <w:rPr>
          <w:rFonts w:hint="eastAsia" w:asciiTheme="minorEastAsia" w:hAnsiTheme="minorEastAsia" w:eastAsiaTheme="minorEastAsia"/>
          <w:sz w:val="32"/>
          <w:szCs w:val="32"/>
          <w:lang w:val="en-US" w:eastAsia="zh-CN"/>
        </w:rPr>
        <w:t>89.41</w:t>
      </w:r>
      <w:r>
        <w:rPr>
          <w:rFonts w:hint="eastAsia" w:asciiTheme="minorEastAsia" w:hAnsiTheme="minorEastAsia" w:eastAsiaTheme="minorEastAsia"/>
          <w:sz w:val="32"/>
          <w:szCs w:val="32"/>
        </w:rPr>
        <w:t>%，与</w:t>
      </w:r>
      <w:r>
        <w:rPr>
          <w:rFonts w:hint="eastAsia" w:asciiTheme="minorEastAsia" w:hAnsiTheme="minorEastAsia" w:eastAsiaTheme="minorEastAsia"/>
          <w:sz w:val="32"/>
          <w:szCs w:val="32"/>
          <w:lang w:val="en-US" w:eastAsia="zh-CN"/>
        </w:rPr>
        <w:t>2019年</w:t>
      </w:r>
      <w:r>
        <w:rPr>
          <w:rFonts w:hint="eastAsia" w:asciiTheme="minorEastAsia" w:hAnsiTheme="minorEastAsia" w:eastAsiaTheme="minorEastAsia"/>
          <w:sz w:val="32"/>
          <w:szCs w:val="32"/>
        </w:rPr>
        <w:t>相比，财政拨款支出增加</w:t>
      </w:r>
      <w:r>
        <w:rPr>
          <w:rFonts w:hint="eastAsia" w:asciiTheme="minorEastAsia" w:hAnsiTheme="minorEastAsia" w:eastAsiaTheme="minorEastAsia"/>
          <w:sz w:val="32"/>
          <w:szCs w:val="32"/>
          <w:lang w:val="en-US" w:eastAsia="zh-CN"/>
        </w:rPr>
        <w:t>14.89</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3.68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项目经费支出增加。</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2020年度财政拨款支出419.67万元，主要用于以下方面：一般公共服务（类）支出346.12万元，占</w:t>
      </w:r>
      <w:r>
        <w:rPr>
          <w:rFonts w:hint="eastAsia" w:asciiTheme="minorEastAsia" w:hAnsiTheme="minorEastAsia" w:eastAsiaTheme="minorEastAsia"/>
          <w:sz w:val="32"/>
          <w:szCs w:val="32"/>
          <w:lang w:val="en-US" w:eastAsia="zh-CN"/>
        </w:rPr>
        <w:t>82.47</w:t>
      </w:r>
      <w:r>
        <w:rPr>
          <w:rFonts w:hint="eastAsia" w:asciiTheme="minorEastAsia" w:hAnsiTheme="minorEastAsia" w:eastAsiaTheme="minorEastAsia"/>
          <w:sz w:val="32"/>
          <w:szCs w:val="32"/>
        </w:rPr>
        <w:t>%；社会保障和就业支出（类）支出34.54万元，占</w:t>
      </w:r>
      <w:r>
        <w:rPr>
          <w:rFonts w:hint="eastAsia" w:asciiTheme="minorEastAsia" w:hAnsiTheme="minorEastAsia" w:eastAsiaTheme="minorEastAsia"/>
          <w:sz w:val="32"/>
          <w:szCs w:val="32"/>
          <w:lang w:val="en-US" w:eastAsia="zh-CN"/>
        </w:rPr>
        <w:t>8.23</w:t>
      </w:r>
      <w:r>
        <w:rPr>
          <w:rFonts w:hint="eastAsia" w:asciiTheme="minorEastAsia" w:hAnsiTheme="minorEastAsia" w:eastAsiaTheme="minorEastAsia"/>
          <w:sz w:val="32"/>
          <w:szCs w:val="32"/>
        </w:rPr>
        <w:t>%;卫生健康支出（类）支出7万元，占</w:t>
      </w:r>
      <w:r>
        <w:rPr>
          <w:rFonts w:hint="eastAsia" w:asciiTheme="minorEastAsia" w:hAnsiTheme="minorEastAsia" w:eastAsiaTheme="minorEastAsia"/>
          <w:sz w:val="32"/>
          <w:szCs w:val="32"/>
          <w:lang w:val="en-US" w:eastAsia="zh-CN"/>
        </w:rPr>
        <w:t>1.67</w:t>
      </w:r>
      <w:r>
        <w:rPr>
          <w:rFonts w:hint="eastAsia" w:asciiTheme="minorEastAsia" w:hAnsiTheme="minorEastAsia" w:eastAsiaTheme="minorEastAsia"/>
          <w:sz w:val="32"/>
          <w:szCs w:val="32"/>
        </w:rPr>
        <w:t>%;农林水支出（类）支出20万元，占</w:t>
      </w:r>
      <w:r>
        <w:rPr>
          <w:rFonts w:hint="eastAsia" w:asciiTheme="minorEastAsia" w:hAnsiTheme="minorEastAsia" w:eastAsiaTheme="minorEastAsia"/>
          <w:sz w:val="32"/>
          <w:szCs w:val="32"/>
          <w:lang w:val="en-US" w:eastAsia="zh-CN"/>
        </w:rPr>
        <w:t>4.77</w:t>
      </w:r>
      <w:r>
        <w:rPr>
          <w:rFonts w:hint="eastAsia" w:asciiTheme="minorEastAsia" w:hAnsiTheme="minorEastAsia" w:eastAsiaTheme="minorEastAsia"/>
          <w:sz w:val="32"/>
          <w:szCs w:val="32"/>
        </w:rPr>
        <w:t>%;住房保障支出（类）支出12万元，占</w:t>
      </w:r>
      <w:r>
        <w:rPr>
          <w:rFonts w:hint="eastAsia" w:asciiTheme="minorEastAsia" w:hAnsiTheme="minorEastAsia" w:eastAsiaTheme="minorEastAsia"/>
          <w:sz w:val="32"/>
          <w:szCs w:val="32"/>
          <w:lang w:val="en-US" w:eastAsia="zh-CN"/>
        </w:rPr>
        <w:t>2.86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283.33</w:t>
      </w:r>
      <w:r>
        <w:rPr>
          <w:rFonts w:hint="eastAsia" w:asciiTheme="minorEastAsia" w:hAnsiTheme="minorEastAsia" w:eastAsiaTheme="minorEastAsia"/>
          <w:sz w:val="32"/>
          <w:szCs w:val="32"/>
        </w:rPr>
        <w:t>万元，支出决算数为419.67万元，完成年初预算的</w:t>
      </w:r>
      <w:r>
        <w:rPr>
          <w:rFonts w:hint="eastAsia" w:asciiTheme="minorEastAsia" w:hAnsiTheme="minorEastAsia" w:eastAsiaTheme="minorEastAsia"/>
          <w:sz w:val="32"/>
          <w:szCs w:val="32"/>
          <w:lang w:val="en-US" w:eastAsia="zh-CN"/>
        </w:rPr>
        <w:t>148.12</w:t>
      </w:r>
      <w:r>
        <w:rPr>
          <w:rFonts w:hint="eastAsia" w:asciiTheme="minorEastAsia" w:hAnsiTheme="minorEastAsia" w:eastAsiaTheme="minorEastAsia"/>
          <w:sz w:val="32"/>
          <w:szCs w:val="32"/>
        </w:rPr>
        <w:t>%，其中：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1、一般公共服务（类）人大事务（款）一般行政管理事务（项）。</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万元，支出决算为3.54万元，决算数大于年初预算数的主要原因是：</w:t>
      </w:r>
      <w:r>
        <w:rPr>
          <w:rFonts w:hint="eastAsia" w:asciiTheme="minorEastAsia" w:hAnsiTheme="minorEastAsia" w:eastAsiaTheme="minorEastAsia"/>
          <w:sz w:val="32"/>
          <w:szCs w:val="32"/>
          <w:lang w:eastAsia="zh-CN"/>
        </w:rPr>
        <w:t>有年初结转结余数。</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2、一般公共服务（类）发展与改革事务（款）其他发展与改革事务支出（项）。</w:t>
      </w:r>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万元，支出决算为8万元，决算数大于年初预算数的主要原因是：</w:t>
      </w:r>
      <w:r>
        <w:rPr>
          <w:rFonts w:hint="eastAsia" w:asciiTheme="minorEastAsia" w:hAnsiTheme="minorEastAsia" w:eastAsiaTheme="minorEastAsia"/>
          <w:sz w:val="32"/>
          <w:szCs w:val="32"/>
          <w:lang w:eastAsia="zh-CN"/>
        </w:rPr>
        <w:t>年中追加专项拨款</w:t>
      </w:r>
      <w:r>
        <w:rPr>
          <w:rFonts w:hint="eastAsia" w:asciiTheme="minorEastAsia" w:hAnsiTheme="minorEastAsia" w:eastAsiaTheme="minorEastAsia"/>
          <w:sz w:val="32"/>
          <w:szCs w:val="32"/>
          <w:lang w:val="en-US" w:eastAsia="zh-CN"/>
        </w:rPr>
        <w:t>10万元。</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、一般公共服务（类）群众团体事务（款）行政运行（项）。</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135.21</w:t>
      </w:r>
      <w:r>
        <w:rPr>
          <w:rFonts w:hint="eastAsia" w:asciiTheme="minorEastAsia" w:hAnsiTheme="minorEastAsia" w:eastAsiaTheme="minorEastAsia"/>
          <w:sz w:val="32"/>
          <w:szCs w:val="32"/>
        </w:rPr>
        <w:t>万元，支出决算为203.68万元，完成年初预算的</w:t>
      </w:r>
      <w:r>
        <w:rPr>
          <w:rFonts w:hint="eastAsia" w:asciiTheme="minorEastAsia" w:hAnsiTheme="minorEastAsia" w:eastAsiaTheme="minorEastAsia"/>
          <w:sz w:val="32"/>
          <w:szCs w:val="32"/>
          <w:lang w:val="en-US" w:eastAsia="zh-CN"/>
        </w:rPr>
        <w:t>150.64</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年中拨在职人员各项政策性奖励金。</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、一般公共服务（类）群众团体事务（款）一般行政管理事务（项）。</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108.2</w:t>
      </w:r>
      <w:r>
        <w:rPr>
          <w:rFonts w:hint="eastAsia" w:asciiTheme="minorEastAsia" w:hAnsiTheme="minorEastAsia" w:eastAsiaTheme="minorEastAsia"/>
          <w:sz w:val="32"/>
          <w:szCs w:val="32"/>
        </w:rPr>
        <w:t>万元，支出决算为100.9</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93.25</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项目经费未及时支出。</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、一般公共服务（类）群众团体事务（款）其他群众团体事务支出（项）。</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万元，支出决算为30万元，决算数大于年初预算数的主要原因是：</w:t>
      </w:r>
      <w:r>
        <w:rPr>
          <w:rFonts w:hint="eastAsia" w:asciiTheme="minorEastAsia" w:hAnsiTheme="minorEastAsia" w:eastAsiaTheme="minorEastAsia"/>
          <w:sz w:val="32"/>
          <w:szCs w:val="32"/>
          <w:lang w:eastAsia="zh-CN"/>
        </w:rPr>
        <w:t>年中追加专项拨款</w:t>
      </w:r>
      <w:r>
        <w:rPr>
          <w:rFonts w:hint="eastAsia" w:asciiTheme="minorEastAsia" w:hAnsiTheme="minorEastAsia" w:eastAsiaTheme="minorEastAsia"/>
          <w:sz w:val="32"/>
          <w:szCs w:val="32"/>
          <w:lang w:val="en-US" w:eastAsia="zh-CN"/>
        </w:rPr>
        <w:t>30万元。</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、社会保障和就业支出（类）人力资源和社会保障管理事务（款） 社会保险经办机构（项）。</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万元，支出决算为0.67万元，决算数大于年初预算数的主要原因是：</w:t>
      </w:r>
      <w:r>
        <w:rPr>
          <w:rFonts w:hint="eastAsia" w:asciiTheme="minorEastAsia" w:hAnsiTheme="minorEastAsia" w:eastAsiaTheme="minorEastAsia"/>
          <w:sz w:val="32"/>
          <w:szCs w:val="32"/>
          <w:lang w:eastAsia="zh-CN"/>
        </w:rPr>
        <w:t>追加在职人员其他社会保障缴费。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、社会保障和就业支出（类）行政事业单位养老支出（款）行政单位离退休（项）。</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5.01</w:t>
      </w:r>
      <w:r>
        <w:rPr>
          <w:rFonts w:hint="eastAsia" w:asciiTheme="minorEastAsia" w:hAnsiTheme="minorEastAsia" w:eastAsiaTheme="minorEastAsia"/>
          <w:sz w:val="32"/>
          <w:szCs w:val="32"/>
        </w:rPr>
        <w:t>万元，支出决算为17.87万元，完成年初预算的</w:t>
      </w:r>
      <w:r>
        <w:rPr>
          <w:rFonts w:hint="eastAsia" w:asciiTheme="minorEastAsia" w:hAnsiTheme="minorEastAsia" w:eastAsiaTheme="minorEastAsia"/>
          <w:sz w:val="32"/>
          <w:szCs w:val="32"/>
          <w:lang w:val="en-US" w:eastAsia="zh-CN"/>
        </w:rPr>
        <w:t>356.69</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年中拨退休人员各项政策性奖金。</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、社会保障和就业支出（类）行政事业单位养老支出（款）机关事业单位基本养老保险缴费支出（项）。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16</w:t>
      </w:r>
      <w:r>
        <w:rPr>
          <w:rFonts w:hint="eastAsia" w:asciiTheme="minorEastAsia" w:hAnsiTheme="minorEastAsia" w:eastAsiaTheme="minorEastAsia"/>
          <w:sz w:val="32"/>
          <w:szCs w:val="32"/>
        </w:rPr>
        <w:t>万元，支出决算为16万元，完成年初预算的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保持一致。</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、卫生健康支出（类）行政事业单位医疗（款）行政单位医疗（项）。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万元，支出决算为7万元，完成年初预算的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保持一致。</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、农林水支出（类）其他农林水支出（款）其他农林水支出（项）。</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万元，支出决算为20万元，决算数大于年初预算数的主要原因是：</w:t>
      </w:r>
      <w:r>
        <w:rPr>
          <w:rFonts w:hint="eastAsia" w:asciiTheme="minorEastAsia" w:hAnsiTheme="minorEastAsia" w:eastAsiaTheme="minorEastAsia"/>
          <w:sz w:val="32"/>
          <w:szCs w:val="32"/>
          <w:lang w:eastAsia="zh-CN"/>
        </w:rPr>
        <w:t>年中追加</w:t>
      </w:r>
      <w:r>
        <w:rPr>
          <w:rFonts w:hint="eastAsia" w:asciiTheme="minorEastAsia" w:hAnsiTheme="minorEastAsia" w:eastAsiaTheme="minorEastAsia"/>
          <w:sz w:val="32"/>
          <w:szCs w:val="32"/>
          <w:lang w:val="en-US" w:eastAsia="zh-CN"/>
        </w:rPr>
        <w:t>20万项目经费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、住房保障支出（类）住房改革支出（款）住房公积金（项）。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万元，支出决算为12万元，完成年初预算的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保持一致。</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2020年度财政拨款基本支出257.23万元，其中：人员经费216.69万元，占基本支出的</w:t>
      </w:r>
      <w:r>
        <w:rPr>
          <w:rFonts w:hint="eastAsia" w:asciiTheme="minorEastAsia" w:hAnsiTheme="minorEastAsia" w:eastAsiaTheme="minorEastAsia"/>
          <w:sz w:val="32"/>
          <w:szCs w:val="32"/>
          <w:lang w:val="en-US" w:eastAsia="zh-CN"/>
        </w:rPr>
        <w:t>84.24</w:t>
      </w:r>
      <w:r>
        <w:rPr>
          <w:rFonts w:hint="eastAsia" w:asciiTheme="minorEastAsia" w:hAnsiTheme="minorEastAsia" w:eastAsiaTheme="minorEastAsia"/>
          <w:sz w:val="32"/>
          <w:szCs w:val="32"/>
        </w:rPr>
        <w:t>%,主要包括基本工资、津贴补贴、奖金、</w:t>
      </w:r>
      <w:r>
        <w:rPr>
          <w:rFonts w:hint="eastAsia" w:asciiTheme="minorEastAsia" w:hAnsiTheme="minorEastAsia" w:eastAsiaTheme="minorEastAsia"/>
          <w:sz w:val="32"/>
          <w:szCs w:val="32"/>
          <w:lang w:eastAsia="zh-CN"/>
        </w:rPr>
        <w:t>养老金、医保金、奖励金等</w:t>
      </w:r>
      <w:r>
        <w:rPr>
          <w:rFonts w:hint="eastAsia" w:asciiTheme="minorEastAsia" w:hAnsiTheme="minorEastAsia" w:eastAsiaTheme="minorEastAsia"/>
          <w:sz w:val="32"/>
          <w:szCs w:val="32"/>
        </w:rPr>
        <w:t>；公用经费40.54万元，占基本支出的</w:t>
      </w:r>
      <w:r>
        <w:rPr>
          <w:rFonts w:hint="eastAsia" w:asciiTheme="minorEastAsia" w:hAnsiTheme="minorEastAsia" w:eastAsiaTheme="minorEastAsia"/>
          <w:sz w:val="32"/>
          <w:szCs w:val="32"/>
          <w:lang w:val="en-US" w:eastAsia="zh-CN"/>
        </w:rPr>
        <w:t>15.76</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差旅费</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水费、电费、其他交通费等</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2.50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61.20</w:t>
      </w:r>
      <w:r>
        <w:rPr>
          <w:rFonts w:hint="eastAsia" w:asciiTheme="minorEastAsia" w:hAnsiTheme="minorEastAsia" w:eastAsiaTheme="minorEastAsia"/>
          <w:sz w:val="32"/>
          <w:szCs w:val="32"/>
        </w:rPr>
        <w:t>%，其中：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lang w:val="en-US" w:eastAsia="zh-CN"/>
        </w:rPr>
        <w:t>年初</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保持一致</w:t>
      </w:r>
      <w:r>
        <w:rPr>
          <w:rFonts w:hint="eastAsia" w:asciiTheme="minorEastAsia" w:hAnsiTheme="minorEastAsia" w:eastAsiaTheme="minorEastAsia"/>
          <w:sz w:val="32"/>
          <w:szCs w:val="32"/>
        </w:rPr>
        <w:t>，与上年相比减少（增加）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万元，减少（增长）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%,减少（增长）的主要原因是</w:t>
      </w:r>
      <w:r>
        <w:rPr>
          <w:rFonts w:hint="eastAsia" w:asciiTheme="minorEastAsia" w:hAnsiTheme="minorEastAsia" w:eastAsiaTheme="minorEastAsia"/>
          <w:sz w:val="32"/>
          <w:szCs w:val="32"/>
          <w:lang w:eastAsia="zh-CN"/>
        </w:rPr>
        <w:t>本单位无出国考察人员</w:t>
      </w:r>
      <w:r>
        <w:rPr>
          <w:rFonts w:hint="eastAsia" w:asciiTheme="minorEastAsia" w:hAnsiTheme="minorEastAsia" w:eastAsiaTheme="minorEastAsia"/>
          <w:sz w:val="32"/>
          <w:szCs w:val="32"/>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51.50</w:t>
      </w:r>
      <w:r>
        <w:rPr>
          <w:rFonts w:hint="eastAsia" w:asciiTheme="minorEastAsia" w:hAnsiTheme="minorEastAsia" w:eastAsiaTheme="minorEastAsia"/>
          <w:sz w:val="32"/>
          <w:szCs w:val="32"/>
        </w:rPr>
        <w:t>%，决算数小于</w:t>
      </w:r>
      <w:r>
        <w:rPr>
          <w:rFonts w:hint="eastAsia" w:asciiTheme="minorEastAsia" w:hAnsiTheme="minorEastAsia" w:eastAsiaTheme="minorEastAsia"/>
          <w:sz w:val="32"/>
          <w:szCs w:val="32"/>
          <w:lang w:val="en-US" w:eastAsia="zh-CN"/>
        </w:rPr>
        <w:t>年初</w:t>
      </w:r>
      <w:r>
        <w:rPr>
          <w:rFonts w:hint="eastAsia" w:asciiTheme="minorEastAsia" w:hAnsiTheme="minorEastAsia" w:eastAsiaTheme="minorEastAsia"/>
          <w:sz w:val="32"/>
          <w:szCs w:val="32"/>
        </w:rPr>
        <w:t>预算数的主要原因是</w:t>
      </w:r>
      <w:r>
        <w:rPr>
          <w:rFonts w:hint="eastAsia" w:asciiTheme="minorEastAsia" w:hAnsiTheme="minorEastAsia" w:eastAsiaTheme="minorEastAsia"/>
          <w:sz w:val="32"/>
          <w:szCs w:val="32"/>
          <w:lang w:eastAsia="zh-CN"/>
        </w:rPr>
        <w:t>严格执行中央八项规定</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0.29</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38.50</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eastAsia="zh-CN"/>
        </w:rPr>
        <w:t>接待任务增加</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0.50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0.50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lang w:val="en-US" w:eastAsia="zh-CN"/>
        </w:rPr>
        <w:t>年初</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保持一致</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val="en-US" w:eastAsia="zh-CN"/>
        </w:rPr>
        <w:t>0.50</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val="en-US" w:eastAsia="zh-CN"/>
        </w:rPr>
        <w:t>2020年收到划拨公务用车1台</w:t>
      </w:r>
      <w:r>
        <w:rPr>
          <w:rFonts w:hint="eastAsia" w:asciiTheme="minorEastAsia" w:hAnsiTheme="minorEastAsia" w:eastAsiaTheme="minorEastAsia"/>
          <w:sz w:val="32"/>
          <w:szCs w:val="32"/>
        </w:rPr>
        <w:t>。</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1.03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67.32</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0.50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32.68</w:t>
      </w:r>
      <w:r>
        <w:rPr>
          <w:rFonts w:hint="eastAsia" w:asciiTheme="minorEastAsia" w:hAnsiTheme="minorEastAsia" w:eastAsiaTheme="minorEastAsia"/>
          <w:sz w:val="32"/>
          <w:szCs w:val="32"/>
        </w:rPr>
        <w:t>%。其中：</w:t>
      </w:r>
    </w:p>
    <w:p>
      <w:pPr>
        <w:pStyle w:val="11"/>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1.03</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87</w:t>
      </w:r>
      <w:r>
        <w:rPr>
          <w:rFonts w:hint="eastAsia" w:asciiTheme="minorEastAsia" w:hAnsiTheme="minorEastAsia" w:eastAsiaTheme="minorEastAsia"/>
          <w:sz w:val="32"/>
          <w:szCs w:val="32"/>
        </w:rPr>
        <w:t>人次，</w:t>
      </w:r>
      <w:r>
        <w:rPr>
          <w:rFonts w:hint="eastAsia" w:ascii="仿宋_GB2312" w:hAnsi="仿宋_GB2312" w:eastAsia="仿宋_GB2312" w:cs="仿宋_GB2312"/>
          <w:color w:val="000000" w:themeColor="text1"/>
          <w:sz w:val="32"/>
          <w:szCs w:val="32"/>
          <w14:textFill>
            <w14:solidFill>
              <w14:schemeClr w14:val="tx1"/>
            </w14:solidFill>
          </w14:textFill>
        </w:rPr>
        <w:t>主要是发生的接待支出</w:t>
      </w:r>
      <w:r>
        <w:rPr>
          <w:rFonts w:hint="eastAsia" w:asciiTheme="minorEastAsia" w:hAnsiTheme="minorEastAsia" w:eastAsiaTheme="minorEastAsia"/>
          <w:color w:val="000000" w:themeColor="text1"/>
          <w:sz w:val="32"/>
          <w:szCs w:val="32"/>
          <w14:textFill>
            <w14:solidFill>
              <w14:schemeClr w14:val="tx1"/>
            </w14:solidFill>
          </w14:textFill>
        </w:rPr>
        <w:t>。</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0.5</w:t>
      </w:r>
      <w:r>
        <w:rPr>
          <w:rFonts w:hint="eastAsia" w:asciiTheme="minorEastAsia" w:hAnsiTheme="minorEastAsia"/>
          <w:sz w:val="32"/>
          <w:szCs w:val="32"/>
        </w:rPr>
        <w:t>万元，其中：公务用车购置费万元，</w:t>
      </w:r>
      <w:r>
        <w:rPr>
          <w:rFonts w:hint="eastAsia" w:asciiTheme="minorEastAsia" w:hAnsiTheme="minorEastAsia"/>
          <w:sz w:val="32"/>
          <w:szCs w:val="32"/>
          <w:lang w:eastAsia="zh-CN"/>
        </w:rPr>
        <w:t>州妇联</w:t>
      </w:r>
      <w:r>
        <w:rPr>
          <w:rFonts w:hint="eastAsia" w:asciiTheme="minorEastAsia" w:hAnsiTheme="minorEastAsia"/>
          <w:sz w:val="32"/>
          <w:szCs w:val="32"/>
        </w:rPr>
        <w:t>本级更新公务用车</w:t>
      </w:r>
      <w:r>
        <w:rPr>
          <w:rFonts w:hint="eastAsia" w:asciiTheme="minorEastAsia" w:hAnsiTheme="minorEastAsia"/>
          <w:sz w:val="32"/>
          <w:szCs w:val="32"/>
          <w:lang w:val="en-US" w:eastAsia="zh-CN"/>
        </w:rPr>
        <w:t>1</w:t>
      </w:r>
      <w:r>
        <w:rPr>
          <w:rFonts w:hint="eastAsia" w:asciiTheme="minorEastAsia" w:hAnsiTheme="minorEastAsia"/>
          <w:sz w:val="32"/>
          <w:szCs w:val="32"/>
        </w:rPr>
        <w:t>辆</w:t>
      </w:r>
      <w:r>
        <w:rPr>
          <w:rFonts w:hint="eastAsia" w:asciiTheme="minorEastAsia" w:hAnsiTheme="minorEastAsia"/>
          <w:sz w:val="32"/>
          <w:szCs w:val="32"/>
          <w:lang w:eastAsia="zh-CN"/>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0.5</w:t>
      </w:r>
      <w:r>
        <w:rPr>
          <w:rFonts w:hint="eastAsia" w:asciiTheme="minorEastAsia" w:hAnsiTheme="minorEastAsia"/>
          <w:sz w:val="32"/>
          <w:szCs w:val="32"/>
        </w:rPr>
        <w:t>万元，主要是</w:t>
      </w:r>
      <w:r>
        <w:rPr>
          <w:rFonts w:hint="eastAsia" w:asciiTheme="minorEastAsia" w:hAnsiTheme="minorEastAsia"/>
          <w:sz w:val="32"/>
          <w:szCs w:val="32"/>
          <w:lang w:eastAsia="zh-CN"/>
        </w:rPr>
        <w:t>汽油费</w:t>
      </w:r>
      <w:r>
        <w:rPr>
          <w:rFonts w:hint="eastAsia" w:asciiTheme="minorEastAsia" w:hAnsiTheme="minorEastAsia"/>
          <w:sz w:val="32"/>
          <w:szCs w:val="32"/>
        </w:rPr>
        <w:t>支出，截止2020年12月31日，我单位开支财政拨款的公务用车保有量为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1"/>
        <w:rPr>
          <w:rFonts w:hAnsi="黑体"/>
          <w:b/>
          <w:sz w:val="32"/>
          <w:szCs w:val="32"/>
        </w:rPr>
      </w:pPr>
      <w:r>
        <w:rPr>
          <w:rFonts w:hint="eastAsia" w:hAnsi="黑体"/>
          <w:b/>
          <w:sz w:val="32"/>
          <w:szCs w:val="32"/>
        </w:rPr>
        <w:t>八、政府性基金预算收入支出决算情况</w:t>
      </w:r>
    </w:p>
    <w:p>
      <w:pPr>
        <w:pStyle w:val="11"/>
        <w:rPr>
          <w:rFonts w:hint="eastAsia"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2020年度政府性基金预算财政拨款收入</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3.01</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3.01</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1.99</w:t>
      </w:r>
      <w:r>
        <w:rPr>
          <w:rFonts w:hint="eastAsia" w:asciiTheme="minorEastAsia" w:hAnsiTheme="minorEastAsia" w:eastAsiaTheme="minorEastAsia"/>
          <w:sz w:val="32"/>
          <w:szCs w:val="32"/>
        </w:rPr>
        <w:t>万元。</w:t>
      </w:r>
    </w:p>
    <w:p>
      <w:pPr>
        <w:pStyle w:val="11"/>
        <w:numPr>
          <w:ilvl w:val="0"/>
          <w:numId w:val="0"/>
        </w:numPr>
        <w:spacing w:line="500" w:lineRule="exact"/>
        <w:rPr>
          <w:rFonts w:hint="eastAsia" w:hAnsi="黑体" w:cs="黑体"/>
          <w:sz w:val="32"/>
          <w:szCs w:val="32"/>
          <w:lang w:val="en-US" w:eastAsia="zh-CN"/>
        </w:rPr>
      </w:pPr>
      <w:r>
        <w:rPr>
          <w:rFonts w:hint="eastAsia" w:hAnsi="黑体" w:cs="黑体"/>
          <w:sz w:val="32"/>
          <w:szCs w:val="32"/>
          <w:lang w:val="en-US" w:eastAsia="zh-CN"/>
        </w:rPr>
        <w:t>九、</w:t>
      </w:r>
      <w:r>
        <w:rPr>
          <w:rFonts w:hint="eastAsia" w:ascii="黑体" w:hAnsi="黑体" w:eastAsia="黑体" w:cs="黑体"/>
          <w:sz w:val="32"/>
          <w:szCs w:val="32"/>
        </w:rPr>
        <w:t>国有资本经营预算支出决算</w:t>
      </w:r>
      <w:r>
        <w:rPr>
          <w:rFonts w:hint="eastAsia" w:hAnsi="黑体" w:cs="黑体"/>
          <w:sz w:val="32"/>
          <w:szCs w:val="32"/>
          <w:lang w:val="en-US" w:eastAsia="zh-CN"/>
        </w:rPr>
        <w:t>情况</w:t>
      </w:r>
    </w:p>
    <w:p>
      <w:pPr>
        <w:pStyle w:val="11"/>
        <w:ind w:firstLine="640"/>
        <w:rPr>
          <w:rFonts w:hint="eastAsia" w:asciiTheme="minorEastAsia" w:hAnsiTheme="minorEastAsia" w:eastAsiaTheme="minorEastAsia"/>
          <w:sz w:val="32"/>
          <w:szCs w:val="32"/>
          <w:lang w:eastAsia="zh-CN"/>
        </w:rPr>
      </w:pPr>
      <w:r>
        <w:rPr>
          <w:rFonts w:hint="eastAsia" w:ascii="宋体 (正文)" w:hAnsi="宋体 (正文)" w:eastAsia="宋体 (正文)" w:cs="宋体 (正文)"/>
          <w:sz w:val="32"/>
          <w:szCs w:val="32"/>
          <w:lang w:val="en-US" w:eastAsia="zh-CN"/>
        </w:rPr>
        <w:t>2020年度</w:t>
      </w:r>
      <w:r>
        <w:rPr>
          <w:rFonts w:hint="eastAsia" w:ascii="宋体 (正文)" w:hAnsi="宋体 (正文)" w:eastAsia="宋体 (正文)" w:cs="宋体 (正文)"/>
          <w:sz w:val="32"/>
          <w:szCs w:val="32"/>
        </w:rPr>
        <w:t>国有资本经营预算</w:t>
      </w:r>
      <w:r>
        <w:rPr>
          <w:rFonts w:hint="eastAsia" w:ascii="宋体 (正文)" w:hAnsi="宋体 (正文)" w:eastAsia="宋体 (正文)" w:cs="宋体 (正文)"/>
          <w:sz w:val="32"/>
          <w:szCs w:val="32"/>
          <w:lang w:val="en-US" w:eastAsia="zh-CN"/>
        </w:rPr>
        <w:t>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年初结转和结余0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万元。说明：本单位无</w:t>
      </w:r>
      <w:r>
        <w:rPr>
          <w:rFonts w:hint="eastAsia" w:asciiTheme="minorEastAsia" w:hAnsiTheme="minorEastAsia" w:eastAsiaTheme="minorEastAsia"/>
          <w:sz w:val="32"/>
          <w:szCs w:val="32"/>
          <w:lang w:val="en-US" w:eastAsia="zh-CN"/>
        </w:rPr>
        <w:t>国有资本经营</w:t>
      </w:r>
      <w:r>
        <w:rPr>
          <w:rFonts w:hint="eastAsia" w:asciiTheme="minorEastAsia" w:hAnsiTheme="minorEastAsia" w:eastAsiaTheme="minorEastAsia"/>
          <w:sz w:val="32"/>
          <w:szCs w:val="32"/>
        </w:rPr>
        <w:t>收支</w:t>
      </w:r>
      <w:r>
        <w:rPr>
          <w:rFonts w:hint="eastAsia" w:asciiTheme="minorEastAsia" w:hAnsiTheme="minorEastAsia" w:eastAsiaTheme="minorEastAsia"/>
          <w:sz w:val="32"/>
          <w:szCs w:val="32"/>
          <w:lang w:eastAsia="zh-CN"/>
        </w:rPr>
        <w:t>。</w:t>
      </w:r>
    </w:p>
    <w:p>
      <w:pPr>
        <w:pStyle w:val="11"/>
        <w:rPr>
          <w:rFonts w:hAnsi="黑体"/>
          <w:b/>
          <w:sz w:val="32"/>
          <w:szCs w:val="32"/>
        </w:rPr>
      </w:pPr>
      <w:r>
        <w:rPr>
          <w:rFonts w:hint="eastAsia" w:ascii="黑体" w:hAnsi="黑体" w:eastAsia="黑体" w:cs="黑体"/>
          <w:i/>
          <w:color w:val="000000" w:themeColor="text1"/>
          <w:sz w:val="32"/>
          <w:szCs w:val="32"/>
          <w:lang w:val="en-US" w:eastAsia="zh-CN"/>
          <w14:textFill>
            <w14:solidFill>
              <w14:schemeClr w14:val="tx1"/>
            </w14:solidFill>
          </w14:textFill>
        </w:rPr>
        <w:t>十、</w:t>
      </w:r>
      <w:r>
        <w:rPr>
          <w:rFonts w:hint="eastAsia" w:hAnsi="黑体"/>
          <w:b/>
          <w:sz w:val="32"/>
          <w:szCs w:val="32"/>
        </w:rPr>
        <w:t>关于2020年度预算绩效情况的说明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本部门预算绩效管理开展情况、绩效目标和绩效评价报告等……（</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按照财政绩效部门要求已公开或其他有关部门要求需随同部门决算一同公开的绩效信息，请作为附件公开）</w:t>
      </w:r>
    </w:p>
    <w:p>
      <w:pPr>
        <w:pStyle w:val="11"/>
        <w:rPr>
          <w:rFonts w:hint="default" w:ascii="黑体" w:hAnsi="黑体" w:eastAsia="黑体" w:cs="黑体"/>
          <w:b/>
          <w:bCs/>
          <w:i/>
          <w:color w:val="000000" w:themeColor="text1"/>
          <w:sz w:val="32"/>
          <w:szCs w:val="32"/>
          <w:lang w:val="en-US" w:eastAsia="zh-CN"/>
          <w14:textFill>
            <w14:solidFill>
              <w14:schemeClr w14:val="tx1"/>
            </w14:solidFill>
          </w14:textFill>
        </w:rPr>
      </w:pPr>
      <w:r>
        <w:rPr>
          <w:rFonts w:hint="eastAsia" w:ascii="黑体" w:hAnsi="黑体" w:eastAsia="黑体" w:cs="黑体"/>
          <w:b/>
          <w:bCs/>
          <w:i/>
          <w:color w:val="000000" w:themeColor="text1"/>
          <w:sz w:val="32"/>
          <w:szCs w:val="32"/>
          <w:lang w:val="en-US" w:eastAsia="zh-CN"/>
          <w14:textFill>
            <w14:solidFill>
              <w14:schemeClr w14:val="tx1"/>
            </w14:solidFill>
          </w14:textFill>
        </w:rPr>
        <w:t>十一、</w:t>
      </w:r>
      <w:r>
        <w:rPr>
          <w:rFonts w:hint="eastAsia" w:hAnsi="黑体" w:cs="黑体"/>
          <w:b/>
          <w:bCs/>
          <w:i/>
          <w:color w:val="000000" w:themeColor="text1"/>
          <w:sz w:val="32"/>
          <w:szCs w:val="32"/>
          <w:lang w:val="en-US" w:eastAsia="zh-CN"/>
          <w14:textFill>
            <w14:solidFill>
              <w14:schemeClr w14:val="tx1"/>
            </w14:solidFill>
          </w14:textFill>
        </w:rPr>
        <w:t>其他重要事项情况说明</w:t>
      </w:r>
    </w:p>
    <w:p>
      <w:pPr>
        <w:pStyle w:val="11"/>
        <w:rPr>
          <w:rFonts w:hint="eastAsia" w:hAnsi="黑体" w:eastAsia="黑体"/>
          <w:b/>
          <w:sz w:val="32"/>
          <w:szCs w:val="32"/>
          <w:lang w:eastAsia="zh-CN"/>
        </w:rPr>
      </w:pPr>
      <w:r>
        <w:rPr>
          <w:rFonts w:hint="eastAsia" w:hAnsi="黑体"/>
          <w:b/>
          <w:sz w:val="32"/>
          <w:szCs w:val="32"/>
          <w:lang w:val="en-US" w:eastAsia="zh-CN"/>
        </w:rPr>
        <w:t xml:space="preserve">    （一）</w:t>
      </w:r>
      <w:r>
        <w:rPr>
          <w:rFonts w:hint="eastAsia" w:hAnsi="黑体"/>
          <w:b/>
          <w:sz w:val="32"/>
          <w:szCs w:val="32"/>
        </w:rPr>
        <w:t>关于机关运行经费支出</w:t>
      </w:r>
      <w:r>
        <w:rPr>
          <w:rFonts w:hint="eastAsia" w:hAnsi="黑体"/>
          <w:b/>
          <w:sz w:val="32"/>
          <w:szCs w:val="32"/>
          <w:lang w:val="en-US" w:eastAsia="zh-CN"/>
        </w:rPr>
        <w:t>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40.54</w:t>
      </w:r>
      <w:r>
        <w:rPr>
          <w:rFonts w:hint="eastAsia" w:asciiTheme="minorEastAsia" w:hAnsiTheme="minorEastAsia" w:eastAsiaTheme="minorEastAsia"/>
          <w:sz w:val="32"/>
          <w:szCs w:val="32"/>
        </w:rPr>
        <w:t>万元，比年初预算数（或者上年决算数）增加</w:t>
      </w:r>
      <w:r>
        <w:rPr>
          <w:rFonts w:hint="eastAsia" w:asciiTheme="minorEastAsia" w:hAnsiTheme="minorEastAsia" w:eastAsiaTheme="minorEastAsia"/>
          <w:sz w:val="32"/>
          <w:szCs w:val="32"/>
          <w:lang w:val="en-US" w:eastAsia="zh-CN"/>
        </w:rPr>
        <w:t>31.34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340.43</w:t>
      </w:r>
      <w:r>
        <w:rPr>
          <w:rFonts w:hint="eastAsia" w:asciiTheme="minorEastAsia" w:hAnsiTheme="minorEastAsia" w:eastAsiaTheme="minorEastAsia"/>
          <w:sz w:val="32"/>
          <w:szCs w:val="32"/>
        </w:rPr>
        <w:t>%。主要原因是：比上年增加340.4%，日常公用经费支出增加。</w:t>
      </w:r>
    </w:p>
    <w:p>
      <w:pPr>
        <w:pStyle w:val="11"/>
        <w:ind w:firstLine="640" w:firstLineChars="200"/>
        <w:rPr>
          <w:rFonts w:hAnsi="黑体"/>
          <w:b/>
          <w:sz w:val="32"/>
          <w:szCs w:val="32"/>
        </w:rPr>
      </w:pPr>
      <w:r>
        <w:rPr>
          <w:rFonts w:hint="eastAsia" w:hAnsi="黑体"/>
          <w:b/>
          <w:sz w:val="32"/>
          <w:szCs w:val="32"/>
          <w:lang w:eastAsia="zh-CN"/>
        </w:rPr>
        <w:t>（</w:t>
      </w:r>
      <w:r>
        <w:rPr>
          <w:rFonts w:hint="eastAsia" w:hAnsi="黑体"/>
          <w:b/>
          <w:sz w:val="32"/>
          <w:szCs w:val="32"/>
          <w:lang w:val="en-US" w:eastAsia="zh-CN"/>
        </w:rPr>
        <w:t>二</w:t>
      </w:r>
      <w:r>
        <w:rPr>
          <w:rFonts w:hint="eastAsia" w:hAnsi="黑体"/>
          <w:b/>
          <w:sz w:val="32"/>
          <w:szCs w:val="32"/>
          <w:lang w:eastAsia="zh-CN"/>
        </w:rPr>
        <w:t>）</w:t>
      </w:r>
      <w:r>
        <w:rPr>
          <w:rFonts w:hint="eastAsia" w:hAnsi="黑体"/>
          <w:b/>
          <w:sz w:val="32"/>
          <w:szCs w:val="32"/>
        </w:rPr>
        <w:t>一般性支出情况</w:t>
      </w:r>
    </w:p>
    <w:p>
      <w:pPr>
        <w:pStyle w:val="11"/>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2020年本部门开支会议费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3.14</w:t>
      </w:r>
      <w:r>
        <w:rPr>
          <w:rFonts w:hint="eastAsia" w:ascii="仿宋_GB2312" w:hAnsi="仿宋_GB2312" w:eastAsia="仿宋_GB2312" w:cs="仿宋_GB2312"/>
          <w:color w:val="000000" w:themeColor="text1"/>
          <w:sz w:val="32"/>
          <w:szCs w:val="32"/>
          <w14:textFill>
            <w14:solidFill>
              <w14:schemeClr w14:val="tx1"/>
            </w14:solidFill>
          </w14:textFill>
        </w:rPr>
        <w:t>万元，用于召开</w:t>
      </w:r>
      <w:r>
        <w:rPr>
          <w:rFonts w:hint="eastAsia" w:ascii="仿宋_GB2312" w:hAnsi="仿宋_GB2312" w:eastAsia="仿宋_GB2312" w:cs="仿宋_GB2312"/>
          <w:color w:val="000000" w:themeColor="text1"/>
          <w:sz w:val="32"/>
          <w:szCs w:val="32"/>
          <w:lang w:eastAsia="zh-CN"/>
          <w14:textFill>
            <w14:solidFill>
              <w14:schemeClr w14:val="tx1"/>
            </w14:solidFill>
          </w14:textFill>
        </w:rPr>
        <w:t>《民法典》湘西专场宣讲</w:t>
      </w:r>
      <w:r>
        <w:rPr>
          <w:rFonts w:hint="eastAsia" w:ascii="仿宋_GB2312" w:hAnsi="仿宋_GB2312" w:eastAsia="仿宋_GB2312" w:cs="仿宋_GB2312"/>
          <w:color w:val="000000" w:themeColor="text1"/>
          <w:sz w:val="32"/>
          <w:szCs w:val="32"/>
          <w14:textFill>
            <w14:solidFill>
              <w14:schemeClr w14:val="tx1"/>
            </w14:solidFill>
          </w14:textFill>
        </w:rPr>
        <w:t>会议，人数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100余</w:t>
      </w:r>
      <w:r>
        <w:rPr>
          <w:rFonts w:hint="eastAsia" w:ascii="仿宋_GB2312" w:hAnsi="仿宋_GB2312" w:eastAsia="仿宋_GB2312" w:cs="仿宋_GB2312"/>
          <w:color w:val="000000" w:themeColor="text1"/>
          <w:sz w:val="32"/>
          <w:szCs w:val="32"/>
          <w14:textFill>
            <w14:solidFill>
              <w14:schemeClr w14:val="tx1"/>
            </w14:solidFill>
          </w14:textFill>
        </w:rPr>
        <w:t>人，内容为</w:t>
      </w:r>
      <w:r>
        <w:rPr>
          <w:rFonts w:hint="eastAsia" w:ascii="仿宋_GB2312" w:hAnsi="仿宋_GB2312" w:eastAsia="仿宋_GB2312" w:cs="仿宋_GB2312"/>
          <w:color w:val="000000" w:themeColor="text1"/>
          <w:sz w:val="32"/>
          <w:szCs w:val="32"/>
          <w:lang w:eastAsia="zh-CN"/>
          <w14:textFill>
            <w14:solidFill>
              <w14:schemeClr w14:val="tx1"/>
            </w14:solidFill>
          </w14:textFill>
        </w:rPr>
        <w:t>民法典时代构建宣讲活动和谐家庭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家事律师公益普法等会议</w:t>
      </w:r>
      <w:bookmarkStart w:id="22" w:name="_GoBack"/>
      <w:bookmarkEnd w:id="22"/>
      <w:r>
        <w:rPr>
          <w:rFonts w:hint="eastAsia" w:ascii="仿宋_GB2312" w:hAnsi="仿宋_GB2312" w:eastAsia="仿宋_GB2312" w:cs="仿宋_GB2312"/>
          <w:color w:val="000000" w:themeColor="text1"/>
          <w:sz w:val="32"/>
          <w:szCs w:val="32"/>
          <w14:textFill>
            <w14:solidFill>
              <w14:schemeClr w14:val="tx1"/>
            </w14:solidFill>
          </w14:textFill>
        </w:rPr>
        <w:t>；开支培训费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万元，用于开展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妇女干部能力建设班</w:t>
      </w:r>
      <w:r>
        <w:rPr>
          <w:rFonts w:hint="eastAsia" w:ascii="仿宋_GB2312" w:hAnsi="仿宋_GB2312" w:eastAsia="仿宋_GB2312" w:cs="仿宋_GB2312"/>
          <w:color w:val="000000" w:themeColor="text1"/>
          <w:sz w:val="32"/>
          <w:szCs w:val="32"/>
          <w14:textFill>
            <w14:solidFill>
              <w14:schemeClr w14:val="tx1"/>
            </w14:solidFill>
          </w14:textFill>
        </w:rPr>
        <w:t>培训，人数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80</w:t>
      </w:r>
      <w:r>
        <w:rPr>
          <w:rFonts w:hint="eastAsia" w:ascii="仿宋_GB2312" w:hAnsi="仿宋_GB2312" w:eastAsia="仿宋_GB2312" w:cs="仿宋_GB2312"/>
          <w:color w:val="000000" w:themeColor="text1"/>
          <w:sz w:val="32"/>
          <w:szCs w:val="32"/>
          <w14:textFill>
            <w14:solidFill>
              <w14:schemeClr w14:val="tx1"/>
            </w14:solidFill>
          </w14:textFill>
        </w:rPr>
        <w:t>人，内容为</w:t>
      </w:r>
      <w:r>
        <w:rPr>
          <w:rFonts w:hint="eastAsia" w:ascii="仿宋_GB2312" w:hAnsi="仿宋_GB2312" w:eastAsia="仿宋_GB2312" w:cs="仿宋_GB2312"/>
          <w:color w:val="000000" w:themeColor="text1"/>
          <w:sz w:val="32"/>
          <w:szCs w:val="32"/>
          <w:lang w:eastAsia="zh-CN"/>
          <w14:textFill>
            <w14:solidFill>
              <w14:schemeClr w14:val="tx1"/>
            </w14:solidFill>
          </w14:textFill>
        </w:rPr>
        <w:t>专题学习贯彻党的十九届五中全会精神</w:t>
      </w:r>
      <w:r>
        <w:rPr>
          <w:rFonts w:hint="eastAsia" w:ascii="仿宋_GB2312" w:hAnsi="仿宋_GB2312" w:eastAsia="仿宋_GB2312" w:cs="仿宋_GB2312"/>
          <w:color w:val="000000" w:themeColor="text1"/>
          <w:sz w:val="32"/>
          <w:szCs w:val="32"/>
          <w14:textFill>
            <w14:solidFill>
              <w14:schemeClr w14:val="tx1"/>
            </w14:solidFill>
          </w14:textFill>
        </w:rPr>
        <w:t>；举办</w:t>
      </w:r>
      <w:r>
        <w:rPr>
          <w:rFonts w:hint="eastAsia" w:ascii="仿宋_GB2312" w:hAnsi="仿宋_GB2312" w:eastAsia="仿宋_GB2312" w:cs="仿宋_GB2312"/>
          <w:color w:val="000000" w:themeColor="text1"/>
          <w:sz w:val="32"/>
          <w:szCs w:val="32"/>
          <w:lang w:eastAsia="zh-CN"/>
          <w14:textFill>
            <w14:solidFill>
              <w14:schemeClr w14:val="tx1"/>
            </w14:solidFill>
          </w14:textFill>
        </w:rPr>
        <w:t>山货出山西、脱贫又脱单</w:t>
      </w:r>
      <w:r>
        <w:rPr>
          <w:rFonts w:hint="eastAsia" w:ascii="仿宋_GB2312" w:hAnsi="仿宋_GB2312" w:eastAsia="仿宋_GB2312" w:cs="仿宋_GB2312"/>
          <w:color w:val="000000" w:themeColor="text1"/>
          <w:sz w:val="32"/>
          <w:szCs w:val="32"/>
          <w14:textFill>
            <w14:solidFill>
              <w14:schemeClr w14:val="tx1"/>
            </w14:solidFill>
          </w14:textFill>
        </w:rPr>
        <w:t>活动，开支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12.3</w:t>
      </w:r>
      <w:r>
        <w:rPr>
          <w:rFonts w:hint="eastAsia" w:ascii="仿宋_GB2312" w:hAnsi="仿宋_GB2312" w:eastAsia="仿宋_GB2312" w:cs="仿宋_GB2312"/>
          <w:color w:val="000000" w:themeColor="text1"/>
          <w:sz w:val="32"/>
          <w:szCs w:val="32"/>
          <w14:textFill>
            <w14:solidFill>
              <w14:schemeClr w14:val="tx1"/>
            </w14:solidFill>
          </w14:textFill>
        </w:rPr>
        <w:t>万元，主要是</w:t>
      </w:r>
      <w:r>
        <w:rPr>
          <w:rFonts w:hint="eastAsia" w:ascii="仿宋_GB2312" w:hAnsi="仿宋_GB2312" w:eastAsia="仿宋_GB2312" w:cs="仿宋_GB2312"/>
          <w:color w:val="000000" w:themeColor="text1"/>
          <w:sz w:val="32"/>
          <w:szCs w:val="32"/>
          <w:lang w:eastAsia="zh-CN"/>
          <w14:textFill>
            <w14:solidFill>
              <w14:schemeClr w14:val="tx1"/>
            </w14:solidFill>
          </w14:textFill>
        </w:rPr>
        <w:t>引导贫困青年建立美好家庭，拓宽全州特色农产品网络销售渠道。</w:t>
      </w:r>
    </w:p>
    <w:p>
      <w:pPr>
        <w:pStyle w:val="11"/>
        <w:rPr>
          <w:rFonts w:hint="eastAsia" w:hAnsi="黑体" w:eastAsia="黑体"/>
          <w:b/>
          <w:sz w:val="32"/>
          <w:szCs w:val="32"/>
          <w:lang w:eastAsia="zh-CN"/>
        </w:rPr>
      </w:pPr>
      <w:r>
        <w:rPr>
          <w:rFonts w:hint="eastAsia" w:hAnsi="黑体"/>
          <w:b/>
          <w:sz w:val="32"/>
          <w:szCs w:val="32"/>
          <w:lang w:val="en-US" w:eastAsia="zh-CN"/>
        </w:rPr>
        <w:t xml:space="preserve">   （三）</w:t>
      </w:r>
      <w:r>
        <w:rPr>
          <w:rFonts w:hint="eastAsia" w:hAnsi="黑体"/>
          <w:b/>
          <w:sz w:val="32"/>
          <w:szCs w:val="32"/>
        </w:rPr>
        <w:t>政府采购支出</w:t>
      </w:r>
      <w:r>
        <w:rPr>
          <w:rFonts w:hint="eastAsia" w:hAnsi="黑体"/>
          <w:b/>
          <w:sz w:val="32"/>
          <w:szCs w:val="32"/>
          <w:lang w:val="en-US" w:eastAsia="zh-CN"/>
        </w:rPr>
        <w:t>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4.63</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4.63</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ind w:firstLine="320" w:firstLineChars="100"/>
        <w:rPr>
          <w:rFonts w:hAnsi="黑体"/>
          <w:b/>
          <w:sz w:val="32"/>
          <w:szCs w:val="32"/>
        </w:rPr>
      </w:pPr>
      <w:r>
        <w:rPr>
          <w:rFonts w:hint="eastAsia" w:hAnsi="黑体"/>
          <w:b/>
          <w:sz w:val="32"/>
          <w:szCs w:val="32"/>
          <w:lang w:eastAsia="zh-CN"/>
        </w:rPr>
        <w:t>（</w:t>
      </w:r>
      <w:r>
        <w:rPr>
          <w:rFonts w:hint="eastAsia" w:hAnsi="黑体"/>
          <w:b/>
          <w:sz w:val="32"/>
          <w:szCs w:val="32"/>
          <w:lang w:val="en-US" w:eastAsia="zh-CN"/>
        </w:rPr>
        <w:t>四</w:t>
      </w:r>
      <w:r>
        <w:rPr>
          <w:rFonts w:hint="eastAsia" w:hAnsi="黑体"/>
          <w:b/>
          <w:sz w:val="32"/>
          <w:szCs w:val="32"/>
          <w:lang w:eastAsia="zh-CN"/>
        </w:rPr>
        <w:t>）</w:t>
      </w:r>
      <w:r>
        <w:rPr>
          <w:rFonts w:hint="eastAsia" w:hAnsi="黑体"/>
          <w:b/>
          <w:sz w:val="32"/>
          <w:szCs w:val="32"/>
        </w:rPr>
        <w:t>国有资产占用情况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辆，其他用车主要是</w:t>
      </w:r>
      <w:r>
        <w:rPr>
          <w:rFonts w:hint="eastAsia" w:asciiTheme="minorEastAsia" w:hAnsiTheme="minorEastAsia" w:eastAsiaTheme="minorEastAsia"/>
          <w:sz w:val="32"/>
          <w:szCs w:val="32"/>
          <w:lang w:eastAsia="zh-CN"/>
        </w:rPr>
        <w:t>日常办公车</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rPr>
          <w:rFonts w:hint="eastAsia" w:ascii="宋体" w:hAnsi="宋体" w:eastAsia="宋体" w:cs="宋体"/>
          <w:color w:val="000000"/>
          <w:sz w:val="27"/>
          <w:szCs w:val="27"/>
          <w:shd w:val="clear" w:color="auto" w:fill="F7F4F4"/>
        </w:rPr>
      </w:pPr>
      <w:r>
        <w:rPr>
          <w:rFonts w:hint="eastAsia" w:ascii="宋体" w:hAnsi="宋体" w:eastAsia="宋体" w:cs="宋体"/>
          <w:b/>
          <w:bCs/>
          <w:color w:val="000000"/>
          <w:sz w:val="32"/>
          <w:szCs w:val="32"/>
        </w:rPr>
        <w:t>1、机关运行经费</w:t>
      </w:r>
      <w:r>
        <w:rPr>
          <w:rFonts w:hint="eastAsia" w:ascii="宋体" w:hAnsi="宋体" w:eastAsia="宋体" w:cs="宋体"/>
          <w:color w:val="000000"/>
          <w:sz w:val="32"/>
          <w:szCs w:val="32"/>
        </w:rPr>
        <w:br w:type="textWrapping"/>
      </w:r>
      <w:r>
        <w:rPr>
          <w:rFonts w:hint="eastAsia" w:ascii="宋体" w:hAnsi="宋体" w:eastAsia="宋体" w:cs="宋体"/>
          <w:color w:val="000000"/>
          <w:sz w:val="32"/>
          <w:szCs w:val="32"/>
        </w:rPr>
        <w:t>　　为保障行政单位（包括参照公务员法管理的事业单位）运行，用一般公共预算拨款安排用于购买货物和服务的各项资金，包括办公及印刷费、邮电费、差旅费、会议费、福利费、公务用车运行维护费以及其他费用。</w:t>
      </w:r>
      <w:r>
        <w:rPr>
          <w:rFonts w:hint="eastAsia" w:ascii="宋体" w:hAnsi="宋体" w:eastAsia="宋体" w:cs="宋体"/>
          <w:color w:val="000000"/>
          <w:sz w:val="32"/>
          <w:szCs w:val="32"/>
        </w:rPr>
        <w:br w:type="textWrapping"/>
      </w:r>
      <w:r>
        <w:rPr>
          <w:rFonts w:hint="eastAsia" w:ascii="宋体" w:hAnsi="宋体" w:eastAsia="宋体" w:cs="宋体"/>
          <w:b/>
          <w:bCs/>
          <w:color w:val="000000"/>
          <w:sz w:val="32"/>
          <w:szCs w:val="32"/>
        </w:rPr>
        <w:t>2、“三公”经费</w:t>
      </w:r>
      <w:r>
        <w:rPr>
          <w:rFonts w:hint="eastAsia" w:ascii="宋体" w:hAnsi="宋体" w:eastAsia="宋体" w:cs="宋体"/>
          <w:color w:val="000000"/>
          <w:sz w:val="32"/>
          <w:szCs w:val="32"/>
        </w:rPr>
        <w:br w:type="textWrapping"/>
      </w:r>
      <w:r>
        <w:rPr>
          <w:rFonts w:hint="eastAsia" w:ascii="宋体" w:hAnsi="宋体" w:eastAsia="宋体" w:cs="宋体"/>
          <w:color w:val="000000"/>
          <w:sz w:val="32"/>
          <w:szCs w:val="32"/>
        </w:rPr>
        <w:t>　　纳入州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1"/>
        <w:jc w:val="both"/>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FF0000"/>
          <w:kern w:val="0"/>
          <w:sz w:val="70"/>
          <w:szCs w:val="70"/>
        </w:rPr>
      </w:pPr>
    </w:p>
    <w:p>
      <w:pPr>
        <w:ind w:firstLine="640" w:firstLineChars="200"/>
        <w:jc w:val="center"/>
        <w:rPr>
          <w:rFonts w:cs="黑体" w:asciiTheme="minorEastAsia" w:hAnsiTheme="minorEastAsia"/>
          <w:b/>
          <w:color w:val="FF0000"/>
          <w:kern w:val="0"/>
          <w:sz w:val="32"/>
          <w:szCs w:val="32"/>
        </w:rPr>
      </w:pPr>
      <w:r>
        <w:rPr>
          <w:rFonts w:hint="eastAsia" w:cs="黑体" w:asciiTheme="minorEastAsia" w:hAnsiTheme="minorEastAsia"/>
          <w:b/>
          <w:color w:val="auto"/>
          <w:kern w:val="0"/>
          <w:sz w:val="32"/>
          <w:szCs w:val="32"/>
        </w:rPr>
        <w:t>2020年度部门整体支出绩效评价报告</w:t>
      </w:r>
    </w:p>
    <w:p>
      <w:pPr>
        <w:widowControl/>
        <w:spacing w:line="620" w:lineRule="exact"/>
        <w:jc w:val="center"/>
        <w:rPr>
          <w:rFonts w:hint="eastAsia" w:ascii="方正公文小标宋" w:eastAsia="方正公文小标宋" w:cs="方正公文小标宋"/>
          <w:sz w:val="44"/>
          <w:szCs w:val="44"/>
          <w:lang w:eastAsia="zh-CN" w:bidi="ar-SA"/>
        </w:rPr>
      </w:pPr>
      <w:r>
        <w:rPr>
          <w:rFonts w:hint="eastAsia" w:ascii="方正公文小标宋" w:eastAsia="方正公文小标宋" w:cs="方正公文小标宋"/>
          <w:sz w:val="44"/>
          <w:szCs w:val="44"/>
          <w:lang w:eastAsia="zh-CN" w:bidi="ar-SA"/>
        </w:rPr>
        <w:t>湘西</w:t>
      </w:r>
      <w:r>
        <w:rPr>
          <w:rFonts w:hint="eastAsia" w:ascii="方正公文小标宋" w:eastAsia="方正公文小标宋" w:cs="方正公文小标宋"/>
          <w:sz w:val="44"/>
          <w:szCs w:val="44"/>
          <w:lang w:val="en-US" w:eastAsia="zh-CN" w:bidi="ar-SA"/>
        </w:rPr>
        <w:t>自治州妇女联合会</w:t>
      </w:r>
    </w:p>
    <w:p>
      <w:pPr>
        <w:widowControl/>
        <w:spacing w:line="620" w:lineRule="exact"/>
        <w:jc w:val="center"/>
        <w:rPr>
          <w:rFonts w:hint="eastAsia" w:ascii="方正公文小标宋" w:eastAsia="方正公文小标宋" w:cs="方正公文小标宋"/>
          <w:sz w:val="44"/>
          <w:szCs w:val="44"/>
          <w:lang w:bidi="ar-SA"/>
        </w:rPr>
      </w:pPr>
      <w:r>
        <w:rPr>
          <w:rFonts w:hint="eastAsia" w:ascii="方正公文小标宋" w:eastAsia="方正公文小标宋" w:cs="方正公文小标宋"/>
          <w:sz w:val="44"/>
          <w:szCs w:val="44"/>
          <w:lang w:bidi="ar-SA"/>
        </w:rPr>
        <w:t>部门整体支出绩效评价报告</w:t>
      </w:r>
    </w:p>
    <w:p>
      <w:pPr>
        <w:widowControl/>
        <w:spacing w:line="620" w:lineRule="exact"/>
        <w:jc w:val="center"/>
        <w:rPr>
          <w:rFonts w:eastAsia="仿宋_GB2312"/>
          <w:b/>
          <w:bCs/>
          <w:sz w:val="44"/>
          <w:szCs w:val="44"/>
        </w:rPr>
      </w:pPr>
    </w:p>
    <w:p>
      <w:pPr>
        <w:keepNext w:val="0"/>
        <w:keepLines w:val="0"/>
        <w:pageBreakBefore w:val="0"/>
        <w:widowControl/>
        <w:shd w:val="clear" w:color="auto" w:fill="auto"/>
        <w:kinsoku/>
        <w:wordWrap/>
        <w:overflowPunct/>
        <w:topLinePunct w:val="0"/>
        <w:autoSpaceDE/>
        <w:autoSpaceDN/>
        <w:bidi w:val="0"/>
        <w:adjustRightInd/>
        <w:snapToGrid/>
        <w:spacing w:line="620" w:lineRule="exact"/>
        <w:ind w:firstLine="640" w:firstLineChars="200"/>
        <w:jc w:val="left"/>
        <w:textAlignment w:val="center"/>
        <w:rPr>
          <w:rFonts w:hint="default" w:ascii="Times New Roman" w:hAnsi="Times New Roman" w:eastAsia="方正仿宋_GB2312" w:cs="Times New Roman"/>
          <w:sz w:val="32"/>
          <w:szCs w:val="32"/>
          <w:lang w:bidi="ar-SA"/>
        </w:rPr>
      </w:pPr>
      <w:r>
        <w:rPr>
          <w:rFonts w:hint="default" w:ascii="Times New Roman" w:hAnsi="Times New Roman" w:eastAsia="方正仿宋_GB2312" w:cs="Times New Roman"/>
          <w:sz w:val="32"/>
          <w:szCs w:val="32"/>
          <w:lang w:bidi="ar-SA"/>
        </w:rPr>
        <w:t>为加强</w:t>
      </w:r>
      <w:r>
        <w:rPr>
          <w:rFonts w:hint="eastAsia" w:ascii="Times New Roman" w:hAnsi="Times New Roman" w:eastAsia="方正仿宋_GB2312" w:cs="Times New Roman"/>
          <w:sz w:val="32"/>
          <w:szCs w:val="32"/>
          <w:lang w:eastAsia="zh-CN" w:bidi="ar-SA"/>
        </w:rPr>
        <w:t>湘西自治州妇女联合会</w:t>
      </w:r>
      <w:r>
        <w:rPr>
          <w:rFonts w:hint="default" w:ascii="Times New Roman" w:hAnsi="Times New Roman" w:eastAsia="方正仿宋_GB2312" w:cs="Times New Roman"/>
          <w:sz w:val="32"/>
          <w:szCs w:val="32"/>
          <w:lang w:bidi="ar-SA"/>
        </w:rPr>
        <w:t>（以下简称“本部门”）财政资金管理，强化支出责任，提高财政资金的使用效益，建立科学、合理的财政支出绩效评价管理体系，提高本部门财政资金的使用效益，根据中共中央国务</w:t>
      </w:r>
      <w:r>
        <w:rPr>
          <w:rFonts w:hint="eastAsia" w:ascii="Times New Roman" w:hAnsi="Times New Roman" w:eastAsia="方正仿宋_GB2312" w:cs="Times New Roman"/>
          <w:sz w:val="32"/>
          <w:szCs w:val="32"/>
          <w:lang w:val="en-US" w:eastAsia="zh-CN" w:bidi="ar-SA"/>
        </w:rPr>
        <w:t>院</w:t>
      </w:r>
      <w:r>
        <w:rPr>
          <w:rFonts w:hint="default" w:ascii="Times New Roman" w:hAnsi="Times New Roman" w:eastAsia="方正仿宋_GB2312" w:cs="Times New Roman"/>
          <w:sz w:val="32"/>
          <w:szCs w:val="32"/>
          <w:lang w:bidi="ar-SA"/>
        </w:rPr>
        <w:t>《关于全面实施预算绩效管理的意见》（中发〔2018〕34号）、《项目支出绩效评价管理办法》（财预〔2020〕10号）、《关于全面推进预算绩效管理的实施意见》（湘办发〔2019〕10号）、《党政机关厉行节约反对浪费条例》、《湘西州财政局关于开展20</w:t>
      </w:r>
      <w:r>
        <w:rPr>
          <w:rFonts w:hint="eastAsia" w:ascii="Times New Roman" w:hAnsi="Times New Roman" w:eastAsia="方正仿宋_GB2312" w:cs="Times New Roman"/>
          <w:sz w:val="32"/>
          <w:szCs w:val="32"/>
          <w:lang w:val="en-US" w:eastAsia="zh-CN" w:bidi="ar-SA"/>
        </w:rPr>
        <w:t>20</w:t>
      </w:r>
      <w:r>
        <w:rPr>
          <w:rFonts w:hint="default" w:ascii="Times New Roman" w:hAnsi="Times New Roman" w:eastAsia="方正仿宋_GB2312" w:cs="Times New Roman"/>
          <w:sz w:val="32"/>
          <w:szCs w:val="32"/>
          <w:lang w:bidi="ar-SA"/>
        </w:rPr>
        <w:t>年度州本级财政资金绩效自评工作的通知》（</w:t>
      </w:r>
      <w:r>
        <w:rPr>
          <w:rFonts w:hint="default" w:ascii="Times New Roman" w:hAnsi="Times New Roman" w:eastAsia="方正仿宋_GB2312" w:cs="Times New Roman"/>
          <w:sz w:val="32"/>
          <w:szCs w:val="32"/>
          <w:lang w:eastAsia="zh-CN" w:bidi="ar-SA"/>
        </w:rPr>
        <w:t>州财绩〔202</w:t>
      </w:r>
      <w:r>
        <w:rPr>
          <w:rFonts w:hint="eastAsia" w:ascii="Times New Roman" w:hAnsi="Times New Roman" w:eastAsia="方正仿宋_GB2312" w:cs="Times New Roman"/>
          <w:sz w:val="32"/>
          <w:szCs w:val="32"/>
          <w:lang w:val="en-US" w:eastAsia="zh-CN" w:bidi="ar-SA"/>
        </w:rPr>
        <w:t>1</w:t>
      </w:r>
      <w:r>
        <w:rPr>
          <w:rFonts w:hint="default" w:ascii="Times New Roman" w:hAnsi="Times New Roman" w:eastAsia="方正仿宋_GB2312" w:cs="Times New Roman"/>
          <w:sz w:val="32"/>
          <w:szCs w:val="32"/>
          <w:lang w:eastAsia="zh-CN" w:bidi="ar-SA"/>
        </w:rPr>
        <w:t>〕</w:t>
      </w:r>
      <w:r>
        <w:rPr>
          <w:rFonts w:hint="eastAsia" w:ascii="Times New Roman" w:hAnsi="Times New Roman" w:eastAsia="方正仿宋_GB2312" w:cs="Times New Roman"/>
          <w:sz w:val="32"/>
          <w:szCs w:val="32"/>
          <w:lang w:val="en-US" w:eastAsia="zh-CN" w:bidi="ar-SA"/>
        </w:rPr>
        <w:t>8</w:t>
      </w:r>
      <w:r>
        <w:rPr>
          <w:rFonts w:hint="default" w:ascii="Times New Roman" w:hAnsi="Times New Roman" w:eastAsia="方正仿宋_GB2312" w:cs="Times New Roman"/>
          <w:sz w:val="32"/>
          <w:szCs w:val="32"/>
          <w:lang w:eastAsia="zh-CN" w:bidi="ar-SA"/>
        </w:rPr>
        <w:t>号</w:t>
      </w:r>
      <w:r>
        <w:rPr>
          <w:rFonts w:hint="default" w:ascii="Times New Roman" w:hAnsi="Times New Roman" w:eastAsia="方正仿宋_GB2312" w:cs="Times New Roman"/>
          <w:sz w:val="32"/>
          <w:szCs w:val="32"/>
          <w:lang w:bidi="ar-SA"/>
        </w:rPr>
        <w:t>）等上级文件的要求，本部门于202</w:t>
      </w:r>
      <w:r>
        <w:rPr>
          <w:rFonts w:hint="eastAsia" w:ascii="Times New Roman" w:hAnsi="Times New Roman" w:eastAsia="方正仿宋_GB2312" w:cs="Times New Roman"/>
          <w:sz w:val="32"/>
          <w:szCs w:val="32"/>
          <w:lang w:val="en-US" w:eastAsia="zh-CN" w:bidi="ar-SA"/>
        </w:rPr>
        <w:t>1</w:t>
      </w:r>
      <w:r>
        <w:rPr>
          <w:rFonts w:hint="default" w:ascii="Times New Roman" w:hAnsi="Times New Roman" w:eastAsia="方正仿宋_GB2312" w:cs="Times New Roman"/>
          <w:sz w:val="32"/>
          <w:szCs w:val="32"/>
          <w:lang w:bidi="ar-SA"/>
        </w:rPr>
        <w:t>年</w:t>
      </w:r>
      <w:r>
        <w:rPr>
          <w:rFonts w:hint="eastAsia" w:ascii="Times New Roman" w:hAnsi="Times New Roman" w:eastAsia="方正仿宋_GB2312" w:cs="Times New Roman"/>
          <w:sz w:val="32"/>
          <w:szCs w:val="32"/>
          <w:lang w:val="en-US" w:eastAsia="zh-CN" w:bidi="ar-SA"/>
        </w:rPr>
        <w:t>5</w:t>
      </w:r>
      <w:r>
        <w:rPr>
          <w:rFonts w:hint="default" w:ascii="Times New Roman" w:hAnsi="Times New Roman" w:eastAsia="方正仿宋_GB2312" w:cs="Times New Roman"/>
          <w:sz w:val="32"/>
          <w:szCs w:val="32"/>
          <w:lang w:bidi="ar-SA"/>
        </w:rPr>
        <w:t>月，组织力量对单位的部门预算整体支出进行了绩效评价，本次评价遵循了“科学规范、公正公开、分类管理、绩效相关”的原则，运用科学、合理的绩效评价指标、评价标准和评价方法，对本部门20</w:t>
      </w:r>
      <w:r>
        <w:rPr>
          <w:rFonts w:hint="eastAsia" w:ascii="Times New Roman" w:hAnsi="Times New Roman" w:eastAsia="方正仿宋_GB2312" w:cs="Times New Roman"/>
          <w:sz w:val="32"/>
          <w:szCs w:val="32"/>
          <w:lang w:val="en-US" w:eastAsia="zh-CN" w:bidi="ar-SA"/>
        </w:rPr>
        <w:t>20</w:t>
      </w:r>
      <w:r>
        <w:rPr>
          <w:rFonts w:hint="default" w:ascii="Times New Roman" w:hAnsi="Times New Roman" w:eastAsia="方正仿宋_GB2312" w:cs="Times New Roman"/>
          <w:sz w:val="32"/>
          <w:szCs w:val="32"/>
          <w:lang w:bidi="ar-SA"/>
        </w:rPr>
        <w:t>年度部门整体支出绩效情况进行客观、公正的评价，现将情况汇报如下：</w:t>
      </w:r>
    </w:p>
    <w:p>
      <w:pPr>
        <w:keepNext w:val="0"/>
        <w:keepLines w:val="0"/>
        <w:pageBreakBefore w:val="0"/>
        <w:widowControl/>
        <w:shd w:val="clear" w:color="auto" w:fill="auto"/>
        <w:kinsoku/>
        <w:wordWrap/>
        <w:overflowPunct/>
        <w:topLinePunct w:val="0"/>
        <w:autoSpaceDE/>
        <w:autoSpaceDN/>
        <w:bidi w:val="0"/>
        <w:adjustRightInd/>
        <w:snapToGrid/>
        <w:spacing w:line="620" w:lineRule="exact"/>
        <w:ind w:firstLine="640" w:firstLineChars="200"/>
        <w:jc w:val="left"/>
        <w:textAlignment w:val="center"/>
        <w:outlineLvl w:val="0"/>
        <w:rPr>
          <w:rFonts w:hint="eastAsia" w:ascii="仿宋_GB2312" w:eastAsia="仿宋_GB2312"/>
          <w:sz w:val="32"/>
          <w:szCs w:val="32"/>
        </w:rPr>
      </w:pPr>
      <w:bookmarkStart w:id="3" w:name="_Toc15973"/>
      <w:r>
        <w:rPr>
          <w:rFonts w:hint="eastAsia" w:eastAsia="黑体"/>
          <w:sz w:val="32"/>
          <w:szCs w:val="32"/>
        </w:rPr>
        <w:t>一、基本情况</w:t>
      </w:r>
      <w:bookmarkEnd w:id="3"/>
    </w:p>
    <w:p>
      <w:pPr>
        <w:pStyle w:val="12"/>
        <w:keepNext w:val="0"/>
        <w:keepLines w:val="0"/>
        <w:pageBreakBefore w:val="0"/>
        <w:widowControl/>
        <w:kinsoku/>
        <w:wordWrap/>
        <w:overflowPunct/>
        <w:topLinePunct w:val="0"/>
        <w:autoSpaceDE/>
        <w:autoSpaceDN/>
        <w:bidi w:val="0"/>
        <w:adjustRightInd/>
        <w:snapToGrid/>
        <w:spacing w:line="620" w:lineRule="exact"/>
        <w:rPr>
          <w:rFonts w:hint="eastAsia" w:ascii="方正楷体_GB2312" w:eastAsia="方正楷体_GB2312" w:cs="方正楷体_GB2312"/>
          <w:b/>
          <w:bCs/>
          <w:color w:val="auto"/>
          <w:sz w:val="32"/>
          <w:szCs w:val="32"/>
          <w:lang w:val="en-US" w:eastAsia="zh-CN" w:bidi="ar-SA"/>
        </w:rPr>
      </w:pPr>
      <w:bookmarkStart w:id="4" w:name="_Toc25038"/>
      <w:r>
        <w:rPr>
          <w:rFonts w:hint="eastAsia" w:ascii="方正楷体_GB2312" w:eastAsia="方正楷体_GB2312" w:cs="方正楷体_GB2312"/>
          <w:b/>
          <w:bCs/>
          <w:color w:val="auto"/>
          <w:sz w:val="32"/>
          <w:szCs w:val="32"/>
          <w:lang w:val="en-US" w:eastAsia="zh-CN" w:bidi="ar-SA"/>
        </w:rPr>
        <w:t>（一）部门（单位）基本情况。</w:t>
      </w:r>
      <w:bookmarkEnd w:id="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bidi="ar-SA"/>
        </w:rPr>
      </w:pPr>
      <w:bookmarkStart w:id="5" w:name="_Toc15901"/>
      <w:bookmarkEnd w:id="5"/>
      <w:bookmarkStart w:id="6" w:name="_Toc21389"/>
      <w:r>
        <w:rPr>
          <w:rFonts w:hint="eastAsia" w:ascii="仿宋_GB2312" w:eastAsia="仿宋_GB2312" w:cs="仿宋_GB2312"/>
          <w:sz w:val="32"/>
          <w:szCs w:val="32"/>
          <w:lang w:bidi="ar-SA"/>
        </w:rPr>
        <w:t>根据州</w:t>
      </w:r>
      <w:r>
        <w:rPr>
          <w:rFonts w:hint="eastAsia" w:ascii="仿宋_GB2312" w:eastAsia="仿宋_GB2312" w:cs="仿宋_GB2312"/>
          <w:sz w:val="32"/>
          <w:szCs w:val="32"/>
          <w:lang w:val="en-US" w:eastAsia="zh-CN" w:bidi="ar-SA"/>
        </w:rPr>
        <w:t>编委</w:t>
      </w:r>
      <w:r>
        <w:rPr>
          <w:rFonts w:hint="eastAsia" w:ascii="仿宋_GB2312" w:eastAsia="仿宋_GB2312" w:cs="仿宋_GB2312"/>
          <w:sz w:val="32"/>
          <w:szCs w:val="32"/>
          <w:lang w:bidi="ar-SA"/>
        </w:rPr>
        <w:t>《</w:t>
      </w:r>
      <w:r>
        <w:rPr>
          <w:rFonts w:hint="eastAsia" w:ascii="仿宋_GB2312" w:eastAsia="仿宋_GB2312" w:cs="仿宋_GB2312"/>
          <w:sz w:val="32"/>
          <w:szCs w:val="32"/>
          <w:lang w:val="en-US" w:eastAsia="zh-CN" w:bidi="ar-SA"/>
        </w:rPr>
        <w:t>中共湘西土家族苗族自治州委机构编制委员会关于印发&lt;湘西土家族苗族自治州妇女联合会职能配置、内设机构和人员编制规定&gt;的通知》</w:t>
      </w:r>
      <w:r>
        <w:rPr>
          <w:rFonts w:hint="eastAsia" w:ascii="仿宋_GB2312" w:eastAsia="仿宋_GB2312" w:cs="仿宋_GB2312"/>
          <w:sz w:val="32"/>
          <w:szCs w:val="32"/>
          <w:lang w:bidi="ar-SA"/>
        </w:rPr>
        <w:t>(州</w:t>
      </w:r>
      <w:r>
        <w:rPr>
          <w:rFonts w:hint="eastAsia" w:ascii="仿宋_GB2312" w:eastAsia="仿宋_GB2312" w:cs="仿宋_GB2312"/>
          <w:sz w:val="32"/>
          <w:szCs w:val="32"/>
          <w:lang w:val="en-US" w:eastAsia="zh-CN" w:bidi="ar-SA"/>
        </w:rPr>
        <w:t>编</w:t>
      </w:r>
      <w:r>
        <w:rPr>
          <w:rFonts w:hint="eastAsia" w:ascii="仿宋_GB2312" w:eastAsia="仿宋_GB2312" w:cs="仿宋_GB2312"/>
          <w:sz w:val="32"/>
          <w:szCs w:val="32"/>
          <w:lang w:bidi="ar-SA"/>
        </w:rPr>
        <w:t>发</w:t>
      </w:r>
      <w:r>
        <w:rPr>
          <w:rFonts w:hint="eastAsia" w:ascii="楷体_GB2312" w:eastAsia="楷体_GB2312" w:cs="楷体_GB2312"/>
          <w:sz w:val="32"/>
          <w:szCs w:val="32"/>
          <w:lang w:bidi="ar-SA"/>
        </w:rPr>
        <w:t>〔</w:t>
      </w:r>
      <w:r>
        <w:rPr>
          <w:rFonts w:hint="eastAsia" w:ascii="仿宋_GB2312" w:eastAsia="仿宋_GB2312" w:cs="仿宋_GB2312"/>
          <w:sz w:val="32"/>
          <w:szCs w:val="32"/>
          <w:lang w:bidi="ar-SA"/>
        </w:rPr>
        <w:t>20</w:t>
      </w:r>
      <w:r>
        <w:rPr>
          <w:rFonts w:hint="eastAsia" w:ascii="仿宋_GB2312" w:eastAsia="仿宋_GB2312" w:cs="仿宋_GB2312"/>
          <w:sz w:val="32"/>
          <w:szCs w:val="32"/>
          <w:lang w:val="en-US" w:eastAsia="zh-CN" w:bidi="ar-SA"/>
        </w:rPr>
        <w:t>19</w:t>
      </w:r>
      <w:r>
        <w:rPr>
          <w:rFonts w:hint="eastAsia" w:ascii="楷体_GB2312" w:eastAsia="楷体_GB2312" w:cs="楷体_GB2312"/>
          <w:sz w:val="32"/>
          <w:szCs w:val="32"/>
          <w:lang w:bidi="ar-SA"/>
        </w:rPr>
        <w:t>〕</w:t>
      </w:r>
      <w:r>
        <w:rPr>
          <w:rFonts w:hint="eastAsia" w:ascii="仿宋_GB2312" w:eastAsia="仿宋_GB2312" w:cs="仿宋_GB2312"/>
          <w:sz w:val="32"/>
          <w:szCs w:val="32"/>
          <w:lang w:val="en-US" w:eastAsia="zh-CN" w:bidi="ar-SA"/>
        </w:rPr>
        <w:t>4</w:t>
      </w:r>
      <w:r>
        <w:rPr>
          <w:rFonts w:hint="eastAsia" w:ascii="仿宋_GB2312" w:eastAsia="仿宋_GB2312" w:cs="仿宋_GB2312"/>
          <w:sz w:val="32"/>
          <w:szCs w:val="32"/>
          <w:lang w:bidi="ar-SA"/>
        </w:rPr>
        <w:t>号)精神和《中华全国妇女联合会章程》规定，湘西土家族苗族自治州妇女联合会（简称州妇联），是我州各族各界妇女的群众团体，由中共湘西自治州委领导。</w:t>
      </w:r>
      <w:r>
        <w:rPr>
          <w:rFonts w:hint="eastAsia" w:ascii="仿宋_GB2312" w:eastAsia="仿宋_GB2312" w:cs="仿宋_GB2312"/>
          <w:sz w:val="32"/>
          <w:szCs w:val="32"/>
          <w:lang w:val="en-US" w:eastAsia="zh-CN" w:bidi="ar-SA"/>
        </w:rPr>
        <w:t>州</w:t>
      </w:r>
      <w:r>
        <w:rPr>
          <w:rFonts w:hint="eastAsia" w:ascii="仿宋_GB2312" w:eastAsia="仿宋_GB2312" w:cs="仿宋_GB2312"/>
          <w:sz w:val="32"/>
          <w:szCs w:val="32"/>
          <w:lang w:bidi="ar-SA"/>
        </w:rPr>
        <w:t>妇联为正处级全额拨款（参照公务员管理）单位。统一社会信用代码：13433100006686656Ｙ，办公地址：吉首市人民中路5号。</w:t>
      </w:r>
      <w:r>
        <w:rPr>
          <w:rFonts w:hint="eastAsia" w:ascii="仿宋_GB2312" w:eastAsia="仿宋_GB2312" w:cs="仿宋_GB2312"/>
          <w:color w:val="auto"/>
          <w:sz w:val="32"/>
          <w:szCs w:val="32"/>
          <w:lang w:bidi="ar-SA"/>
        </w:rPr>
        <w:t>内设机构5个：办公室、组宣部、妇女发展部、权益部、家庭和儿童工作部。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主要职责：(一)组织引导妇女学习贯彻习近平新时代中国特色社会主义思想和党的路线方针政策，用中国特色社会主义共同理想凝聚妇女。（二） 加强同各类妇女组织的联系、交流和合作，巩固和扩大各族各界妇女的大团结，引领全州妇女群众紧密团结在中国共产党周围。（三）团结动员妇女投身改革开放和社会主义经济建设、政治建设、文化建设、社会建设和生态文明建设，为中国特色社会主义伟大实践作贡献。（四）代表妇女参与管理经济和文化事业、管理社会事务，参与民主决策、民主管理、民主监督，参与有关法律、法规、规章和政策的制定，参与社会治理和公共服务，推动保障妇女权益法律政策和妇女、儿童发展纲要的实施。（五）维护妇女儿童合法权益，倾听妇女意见，反映妇女诉求，向各级机关提出有关建议，要求并协助有关部门或单位查处侵害妇女儿童权益的行为，为受侵害的妇女儿童提供帮助。（六）教育引导妇女梳理自尊、自信、自立、自强的精神，提高综合素质，实现全面发展。宣传马克思主义妇女观，推动落实男女平等基本国策，营造有利于妇女全面发展的社会环境。宣传表彰优秀妇女典型，培养、推荐女性人才。（七）教育引导妇女践行社会主义核心价值观，弘扬中华优秀文化，组织开展家庭文明创建，支持服务家庭教育，传承中华民族家庭美德，树立良好家风，推动形成家庭文明新风尚。（八）关心妇女工作生活，拓宽服务渠道，创新服务方式，建设服务阵地，发展公益事业，壮大巾帼志愿者队伍，加强妇女之家建设。联系和引导女性社会组织，加强与社会各界的协作，推动全社会为妇女儿童和家庭服务。（九）完成州委、州政府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bidi="ar-SA"/>
        </w:rPr>
        <w:t>截至20</w:t>
      </w:r>
      <w:r>
        <w:rPr>
          <w:rFonts w:hint="eastAsia" w:ascii="仿宋_GB2312" w:eastAsia="仿宋_GB2312" w:cs="仿宋_GB2312"/>
          <w:color w:val="auto"/>
          <w:sz w:val="32"/>
          <w:szCs w:val="32"/>
          <w:lang w:val="en-US" w:eastAsia="zh-CN" w:bidi="ar-SA"/>
        </w:rPr>
        <w:t>20</w:t>
      </w:r>
      <w:r>
        <w:rPr>
          <w:rFonts w:hint="eastAsia" w:ascii="仿宋_GB2312" w:eastAsia="仿宋_GB2312" w:cs="仿宋_GB2312"/>
          <w:color w:val="auto"/>
          <w:sz w:val="32"/>
          <w:szCs w:val="32"/>
          <w:lang w:bidi="ar-SA"/>
        </w:rPr>
        <w:t>年</w:t>
      </w:r>
      <w:r>
        <w:rPr>
          <w:rFonts w:hint="eastAsia" w:ascii="仿宋_GB2312" w:eastAsia="仿宋_GB2312" w:cs="仿宋_GB2312"/>
          <w:color w:val="auto"/>
          <w:sz w:val="32"/>
          <w:szCs w:val="32"/>
          <w:lang w:val="en-US" w:eastAsia="zh-CN" w:bidi="ar-SA"/>
        </w:rPr>
        <w:t>12月31日</w:t>
      </w:r>
      <w:r>
        <w:rPr>
          <w:rFonts w:hint="eastAsia" w:ascii="仿宋_GB2312" w:eastAsia="仿宋_GB2312" w:cs="仿宋_GB2312"/>
          <w:color w:val="auto"/>
          <w:sz w:val="32"/>
          <w:szCs w:val="32"/>
          <w:lang w:bidi="ar-SA"/>
        </w:rPr>
        <w:t>，州妇联在职人员13人，其中，行政编制7人，事业编制5人，工勤1人，退休人员7人。</w:t>
      </w:r>
    </w:p>
    <w:p>
      <w:pPr>
        <w:pStyle w:val="12"/>
        <w:keepNext w:val="0"/>
        <w:keepLines w:val="0"/>
        <w:pageBreakBefore w:val="0"/>
        <w:widowControl/>
        <w:kinsoku/>
        <w:wordWrap/>
        <w:overflowPunct/>
        <w:topLinePunct w:val="0"/>
        <w:autoSpaceDE/>
        <w:autoSpaceDN/>
        <w:bidi w:val="0"/>
        <w:adjustRightInd/>
        <w:snapToGrid/>
        <w:spacing w:line="620" w:lineRule="exact"/>
        <w:rPr>
          <w:rFonts w:hint="eastAsia" w:ascii="方正楷体_GB2312" w:eastAsia="方正楷体_GB2312" w:cs="方正楷体_GB2312"/>
          <w:b/>
          <w:bCs/>
          <w:color w:val="auto"/>
          <w:sz w:val="32"/>
          <w:szCs w:val="32"/>
          <w:lang w:val="en-US" w:eastAsia="zh-CN" w:bidi="ar-SA"/>
        </w:rPr>
      </w:pPr>
      <w:r>
        <w:rPr>
          <w:rFonts w:hint="eastAsia" w:ascii="方正楷体_GB2312" w:eastAsia="方正楷体_GB2312" w:cs="方正楷体_GB2312"/>
          <w:b/>
          <w:bCs/>
          <w:color w:val="auto"/>
          <w:sz w:val="32"/>
          <w:szCs w:val="32"/>
          <w:lang w:val="en-US" w:eastAsia="zh-CN" w:bidi="ar-SA"/>
        </w:rPr>
        <w:t>（二）部门（单位）年度整体支出绩效目标，州级专项资金绩效目标、其他项目支出（除州级专项资金以外）绩效目标。</w:t>
      </w:r>
      <w:bookmarkEnd w:id="6"/>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bidi="ar-SA"/>
        </w:rPr>
      </w:pPr>
      <w:bookmarkStart w:id="7" w:name="_Toc428713160"/>
      <w:r>
        <w:rPr>
          <w:rFonts w:hint="eastAsia" w:ascii="方正仿宋_GB2312" w:eastAsia="方正仿宋_GB2312" w:cs="方正仿宋_GB2312"/>
          <w:b/>
          <w:bCs/>
          <w:color w:val="auto"/>
          <w:sz w:val="32"/>
          <w:szCs w:val="32"/>
          <w:lang w:val="en-US" w:eastAsia="zh-CN" w:bidi="ar-SA"/>
        </w:rPr>
        <w:t xml:space="preserve"> </w:t>
      </w:r>
      <w:bookmarkEnd w:id="7"/>
      <w:r>
        <w:rPr>
          <w:rFonts w:hint="eastAsia" w:ascii="方正仿宋_GB2312" w:eastAsia="方正仿宋_GB2312" w:cs="方正仿宋_GB2312"/>
          <w:b/>
          <w:bCs/>
          <w:color w:val="auto"/>
          <w:sz w:val="32"/>
          <w:szCs w:val="32"/>
          <w:lang w:val="en-US" w:eastAsia="zh-CN" w:bidi="ar-SA"/>
        </w:rPr>
        <w:t>1、整体绩效目标：</w:t>
      </w:r>
      <w:r>
        <w:rPr>
          <w:rFonts w:hint="eastAsia" w:ascii="方正仿宋_GB2312" w:eastAsia="方正仿宋_GB2312" w:cs="方正仿宋_GB2312"/>
          <w:color w:val="auto"/>
          <w:sz w:val="32"/>
          <w:szCs w:val="32"/>
          <w:lang w:val="en-US" w:eastAsia="zh-CN" w:bidi="ar-SA"/>
        </w:rPr>
        <w:t xml:space="preserve"> </w:t>
      </w:r>
      <w:r>
        <w:rPr>
          <w:rFonts w:hint="eastAsia" w:ascii="仿宋_GB2312" w:eastAsia="仿宋_GB2312" w:cs="仿宋_GB2312"/>
          <w:sz w:val="32"/>
          <w:szCs w:val="32"/>
          <w:lang w:val="en-US" w:eastAsia="zh-CN" w:bidi="ar-SA"/>
        </w:rPr>
        <w:t>调查研究湘西州妇女儿童情况和问题，向州委、州政府反映并提出建议。代表妇女参与政府和社会事务的民主管理、民主监督，参与有关妇女儿童法规、规章的制订，维护妇女儿童合法权益。向社会宣传文明进步的妇女观。指导各级妇联开展思想教育工作，教育引导广大妇女增强自尊、自信、自立、自强精神。宣传、表彰先进妇女群体和先进妇女，会同有关部门开展妇女职业技术培训，促进妇女人才成长。</w:t>
      </w:r>
    </w:p>
    <w:p>
      <w:pPr>
        <w:pStyle w:val="12"/>
        <w:keepNext w:val="0"/>
        <w:keepLines w:val="0"/>
        <w:pageBreakBefore w:val="0"/>
        <w:widowControl/>
        <w:kinsoku/>
        <w:wordWrap/>
        <w:overflowPunct/>
        <w:topLinePunct w:val="0"/>
        <w:autoSpaceDE/>
        <w:autoSpaceDN/>
        <w:bidi w:val="0"/>
        <w:adjustRightInd/>
        <w:snapToGrid/>
        <w:spacing w:line="620" w:lineRule="exact"/>
        <w:textAlignment w:val="auto"/>
        <w:rPr>
          <w:rFonts w:hint="eastAsia" w:ascii="方正仿宋_GB2312" w:eastAsia="方正仿宋_GB2312" w:cs="方正仿宋_GB2312"/>
          <w:color w:val="auto"/>
          <w:sz w:val="32"/>
          <w:szCs w:val="32"/>
          <w:lang w:val="en-US" w:eastAsia="zh-CN" w:bidi="ar-SA"/>
        </w:rPr>
      </w:pPr>
      <w:r>
        <w:rPr>
          <w:rFonts w:hint="eastAsia" w:ascii="方正仿宋_GB2312" w:eastAsia="方正仿宋_GB2312" w:cs="方正仿宋_GB2312"/>
          <w:b/>
          <w:bCs/>
          <w:color w:val="auto"/>
          <w:sz w:val="32"/>
          <w:szCs w:val="32"/>
          <w:lang w:val="en-US" w:eastAsia="zh-CN" w:bidi="ar-SA"/>
        </w:rPr>
        <w:t>2、专项绩效目标：</w:t>
      </w:r>
    </w:p>
    <w:p>
      <w:pPr>
        <w:pStyle w:val="12"/>
        <w:keepNext w:val="0"/>
        <w:keepLines w:val="0"/>
        <w:pageBreakBefore w:val="0"/>
        <w:widowControl/>
        <w:kinsoku/>
        <w:wordWrap/>
        <w:overflowPunct/>
        <w:topLinePunct w:val="0"/>
        <w:autoSpaceDE/>
        <w:autoSpaceDN/>
        <w:bidi w:val="0"/>
        <w:adjustRightInd/>
        <w:snapToGrid/>
        <w:spacing w:line="620" w:lineRule="exact"/>
        <w:textAlignment w:val="auto"/>
        <w:rPr>
          <w:rFonts w:hint="eastAsia" w:ascii="仿宋_GB2312" w:eastAsia="仿宋_GB2312" w:cs="仿宋_GB2312"/>
          <w:kern w:val="2"/>
          <w:sz w:val="32"/>
          <w:szCs w:val="32"/>
          <w:lang w:val="en-US" w:eastAsia="zh-CN" w:bidi="ar-SA"/>
        </w:rPr>
      </w:pPr>
      <w:bookmarkStart w:id="8" w:name="_Toc4370"/>
      <w:r>
        <w:rPr>
          <w:rFonts w:hint="eastAsia" w:ascii="仿宋_GB2312" w:eastAsia="仿宋_GB2312" w:cs="仿宋_GB2312"/>
          <w:kern w:val="2"/>
          <w:sz w:val="32"/>
          <w:szCs w:val="32"/>
          <w:lang w:val="en-US" w:eastAsia="zh-CN" w:bidi="ar-SA"/>
        </w:rPr>
        <w:t>州妇联专项资金：州妇联深入学习贯彻党的十九届四中、五中全会精神和习近平总书记考察湖南重要讲话精神，紧紧围绕全州脱贫攻坚巩固年、产业项目推进年、基层治理提升年建设的总要求，以“互助五兴 妇女同行”大行动为抓手，以基层组织改革为动力，瞄准加快农村妇女儿童全面发展的目标，团结带领全州妇女齐心协力抗疫情、凝心聚力谋发展，一心一意促改革，各项工作均取得实质性进展，有力推动全州妇女儿童工作高质量发展。</w:t>
      </w:r>
    </w:p>
    <w:p>
      <w:pPr>
        <w:pStyle w:val="12"/>
        <w:keepNext w:val="0"/>
        <w:keepLines w:val="0"/>
        <w:pageBreakBefore w:val="0"/>
        <w:widowControl/>
        <w:kinsoku/>
        <w:wordWrap/>
        <w:overflowPunct/>
        <w:topLinePunct w:val="0"/>
        <w:autoSpaceDE/>
        <w:autoSpaceDN/>
        <w:bidi w:val="0"/>
        <w:adjustRightInd/>
        <w:snapToGrid/>
        <w:spacing w:line="620" w:lineRule="exact"/>
        <w:textAlignment w:val="auto"/>
        <w:rPr>
          <w:rFonts w:ascii="Times New Roman" w:hAnsi="Times New Roman" w:eastAsia="黑体"/>
          <w:color w:val="auto"/>
          <w:sz w:val="32"/>
          <w:szCs w:val="32"/>
        </w:rPr>
      </w:pPr>
      <w:r>
        <w:rPr>
          <w:rFonts w:hint="eastAsia" w:ascii="Times New Roman" w:hAnsi="Times New Roman" w:eastAsia="黑体"/>
          <w:color w:val="auto"/>
          <w:sz w:val="32"/>
          <w:szCs w:val="32"/>
        </w:rPr>
        <w:t>二、</w:t>
      </w:r>
      <w:r>
        <w:rPr>
          <w:rFonts w:ascii="Times New Roman" w:hAnsi="Times New Roman" w:eastAsia="黑体"/>
          <w:color w:val="auto"/>
          <w:sz w:val="32"/>
          <w:szCs w:val="32"/>
        </w:rPr>
        <w:t>一般公共预算支出情况</w:t>
      </w:r>
      <w:bookmarkEnd w:id="8"/>
    </w:p>
    <w:p>
      <w:pPr>
        <w:pStyle w:val="12"/>
        <w:keepNext w:val="0"/>
        <w:keepLines w:val="0"/>
        <w:pageBreakBefore w:val="0"/>
        <w:widowControl/>
        <w:kinsoku/>
        <w:wordWrap/>
        <w:overflowPunct/>
        <w:topLinePunct w:val="0"/>
        <w:autoSpaceDE/>
        <w:autoSpaceDN/>
        <w:bidi w:val="0"/>
        <w:adjustRightInd/>
        <w:snapToGrid/>
        <w:spacing w:line="620" w:lineRule="exact"/>
        <w:textAlignment w:val="auto"/>
        <w:rPr>
          <w:rFonts w:hint="eastAsia" w:ascii="方正仿宋_GB2312" w:eastAsia="方正仿宋_GB2312" w:cs="方正仿宋_GB2312"/>
          <w:color w:val="auto"/>
          <w:sz w:val="32"/>
          <w:szCs w:val="32"/>
          <w:lang w:val="en-US" w:eastAsia="zh-CN" w:bidi="ar-SA"/>
        </w:rPr>
      </w:pPr>
      <w:r>
        <w:rPr>
          <w:rFonts w:hint="eastAsia" w:ascii="方正仿宋_GB2312" w:eastAsia="方正仿宋_GB2312" w:cs="方正仿宋_GB2312"/>
          <w:color w:val="auto"/>
          <w:sz w:val="32"/>
          <w:szCs w:val="32"/>
          <w:lang w:val="en-US" w:eastAsia="zh-CN" w:bidi="ar-SA"/>
        </w:rPr>
        <w:t>本单位2020年一般公共预算拨款收入427.39万元，支出合计419.67万元，其中基本支出257.23万元，项目支出162.44万元。</w:t>
      </w:r>
    </w:p>
    <w:p>
      <w:pPr>
        <w:pStyle w:val="12"/>
        <w:keepNext w:val="0"/>
        <w:keepLines w:val="0"/>
        <w:pageBreakBefore w:val="0"/>
        <w:widowControl/>
        <w:kinsoku/>
        <w:wordWrap/>
        <w:overflowPunct/>
        <w:topLinePunct w:val="0"/>
        <w:autoSpaceDE/>
        <w:autoSpaceDN/>
        <w:bidi w:val="0"/>
        <w:adjustRightInd/>
        <w:snapToGrid/>
        <w:spacing w:line="620" w:lineRule="exact"/>
        <w:textAlignment w:val="auto"/>
        <w:rPr>
          <w:rFonts w:hint="eastAsia" w:ascii="方正楷体_GB2312" w:eastAsia="方正楷体_GB2312" w:cs="方正楷体_GB2312"/>
          <w:b/>
          <w:bCs/>
          <w:color w:val="auto"/>
          <w:sz w:val="32"/>
          <w:szCs w:val="32"/>
          <w:lang w:val="en-US" w:eastAsia="zh-CN" w:bidi="ar-SA"/>
        </w:rPr>
      </w:pPr>
      <w:bookmarkStart w:id="9" w:name="_Toc27691"/>
      <w:r>
        <w:rPr>
          <w:rFonts w:hint="eastAsia" w:ascii="方正楷体_GB2312" w:eastAsia="方正楷体_GB2312" w:cs="方正楷体_GB2312"/>
          <w:b/>
          <w:bCs/>
          <w:color w:val="auto"/>
          <w:sz w:val="32"/>
          <w:szCs w:val="32"/>
          <w:lang w:val="en-US" w:eastAsia="zh-CN" w:bidi="ar-SA"/>
        </w:rPr>
        <w:t>（一）基本支出情况</w:t>
      </w:r>
      <w:bookmarkEnd w:id="9"/>
    </w:p>
    <w:p>
      <w:pPr>
        <w:pStyle w:val="12"/>
        <w:keepNext w:val="0"/>
        <w:keepLines w:val="0"/>
        <w:pageBreakBefore w:val="0"/>
        <w:widowControl/>
        <w:kinsoku/>
        <w:wordWrap/>
        <w:overflowPunct/>
        <w:topLinePunct w:val="0"/>
        <w:autoSpaceDE/>
        <w:autoSpaceDN/>
        <w:bidi w:val="0"/>
        <w:adjustRightInd/>
        <w:snapToGrid/>
        <w:spacing w:line="620" w:lineRule="exact"/>
        <w:textAlignment w:val="auto"/>
        <w:rPr>
          <w:rFonts w:hint="eastAsia" w:ascii="方正仿宋_GB2312" w:eastAsia="方正仿宋_GB2312" w:cs="方正仿宋_GB2312"/>
          <w:color w:val="auto"/>
          <w:sz w:val="32"/>
          <w:szCs w:val="32"/>
          <w:lang w:val="en-US" w:eastAsia="zh-CN" w:bidi="ar-SA"/>
        </w:rPr>
      </w:pPr>
      <w:r>
        <w:rPr>
          <w:rFonts w:hint="eastAsia" w:ascii="方正仿宋_GB2312" w:eastAsia="方正仿宋_GB2312" w:cs="方正仿宋_GB2312"/>
          <w:color w:val="auto"/>
          <w:sz w:val="32"/>
          <w:szCs w:val="32"/>
          <w:lang w:val="en-US" w:eastAsia="zh-CN" w:bidi="ar-SA"/>
        </w:rPr>
        <w:t>基本支出决算数257.23万元，其中：人员经费216.69万元（工资福利支出147.49万元，对个人和家庭的补助69.20万元），日常公用经费40.54万元，均为商品和服务支出。</w:t>
      </w:r>
    </w:p>
    <w:p>
      <w:pPr>
        <w:pStyle w:val="12"/>
        <w:keepNext w:val="0"/>
        <w:keepLines w:val="0"/>
        <w:pageBreakBefore w:val="0"/>
        <w:widowControl/>
        <w:kinsoku/>
        <w:wordWrap/>
        <w:overflowPunct/>
        <w:topLinePunct w:val="0"/>
        <w:autoSpaceDE/>
        <w:autoSpaceDN/>
        <w:bidi w:val="0"/>
        <w:adjustRightInd/>
        <w:snapToGrid/>
        <w:spacing w:line="620" w:lineRule="exact"/>
        <w:textAlignment w:val="auto"/>
        <w:rPr>
          <w:rFonts w:hint="eastAsia" w:ascii="方正楷体_GB2312" w:eastAsia="方正楷体_GB2312" w:cs="方正楷体_GB2312"/>
          <w:b/>
          <w:bCs/>
          <w:color w:val="auto"/>
          <w:sz w:val="32"/>
          <w:szCs w:val="32"/>
          <w:lang w:val="en-US" w:eastAsia="zh-CN" w:bidi="ar-SA"/>
        </w:rPr>
      </w:pPr>
      <w:bookmarkStart w:id="10" w:name="_Toc31764"/>
      <w:r>
        <w:rPr>
          <w:rFonts w:hint="eastAsia" w:ascii="方正楷体_GB2312" w:eastAsia="方正楷体_GB2312" w:cs="方正楷体_GB2312"/>
          <w:b/>
          <w:bCs/>
          <w:color w:val="auto"/>
          <w:sz w:val="32"/>
          <w:szCs w:val="32"/>
          <w:lang w:val="en-US" w:eastAsia="zh-CN" w:bidi="ar-SA"/>
        </w:rPr>
        <w:t>（二）项目支出情况</w:t>
      </w:r>
      <w:bookmarkEnd w:id="10"/>
    </w:p>
    <w:p>
      <w:pPr>
        <w:pStyle w:val="12"/>
        <w:keepNext w:val="0"/>
        <w:keepLines w:val="0"/>
        <w:pageBreakBefore w:val="0"/>
        <w:widowControl/>
        <w:kinsoku/>
        <w:wordWrap/>
        <w:overflowPunct/>
        <w:topLinePunct w:val="0"/>
        <w:autoSpaceDE/>
        <w:autoSpaceDN/>
        <w:bidi w:val="0"/>
        <w:adjustRightInd/>
        <w:snapToGrid/>
        <w:spacing w:line="620" w:lineRule="exact"/>
        <w:textAlignment w:val="auto"/>
        <w:rPr>
          <w:rFonts w:hint="eastAsia" w:ascii="仿宋_GB2312" w:eastAsia="仿宋_GB2312"/>
          <w:b/>
          <w:bCs/>
          <w:color w:val="auto"/>
          <w:sz w:val="32"/>
          <w:szCs w:val="32"/>
          <w:lang w:val="en-US" w:eastAsia="zh-CN"/>
        </w:rPr>
      </w:pPr>
      <w:bookmarkStart w:id="11" w:name="_Toc41377481"/>
      <w:bookmarkStart w:id="12" w:name="_Toc41376295"/>
      <w:bookmarkStart w:id="13" w:name="_Toc5165"/>
      <w:r>
        <w:rPr>
          <w:rFonts w:hint="eastAsia" w:ascii="仿宋_GB2312" w:eastAsia="仿宋_GB2312"/>
          <w:b/>
          <w:bCs/>
          <w:color w:val="auto"/>
          <w:sz w:val="32"/>
          <w:szCs w:val="32"/>
          <w:lang w:val="en-US" w:eastAsia="zh-CN"/>
        </w:rPr>
        <w:t>1、2020年度州级专项资金分配安排和使用管理情况</w:t>
      </w:r>
    </w:p>
    <w:p>
      <w:pPr>
        <w:pStyle w:val="12"/>
        <w:keepNext w:val="0"/>
        <w:keepLines w:val="0"/>
        <w:pageBreakBefore w:val="0"/>
        <w:widowControl/>
        <w:kinsoku/>
        <w:wordWrap/>
        <w:overflowPunct/>
        <w:topLinePunct w:val="0"/>
        <w:autoSpaceDE/>
        <w:autoSpaceDN/>
        <w:bidi w:val="0"/>
        <w:adjustRightInd/>
        <w:snapToGrid/>
        <w:spacing w:line="620" w:lineRule="exact"/>
        <w:textAlignment w:val="auto"/>
        <w:rPr>
          <w:rFonts w:hint="eastAsia" w:ascii="方正仿宋_GB2312" w:eastAsia="方正仿宋_GB2312" w:cs="方正仿宋_GB2312"/>
          <w:color w:val="auto"/>
          <w:sz w:val="32"/>
          <w:szCs w:val="32"/>
          <w:lang w:val="en-US" w:eastAsia="zh-CN" w:bidi="ar-SA"/>
        </w:rPr>
      </w:pPr>
      <w:r>
        <w:rPr>
          <w:rFonts w:hint="eastAsia" w:ascii="方正仿宋_GB2312" w:eastAsia="方正仿宋_GB2312" w:cs="方正仿宋_GB2312"/>
          <w:color w:val="auto"/>
          <w:sz w:val="32"/>
          <w:szCs w:val="32"/>
          <w:lang w:val="en-US" w:eastAsia="zh-CN" w:bidi="ar-SA"/>
        </w:rPr>
        <w:t>州妇联专项资金：资金拨入108.2万元，实际使用108.2万元，绩效目标已完成。</w:t>
      </w:r>
    </w:p>
    <w:p>
      <w:pPr>
        <w:pStyle w:val="12"/>
        <w:widowControl/>
        <w:spacing w:line="540" w:lineRule="exact"/>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2、年度专项资金收支情况</w:t>
      </w:r>
      <w:bookmarkEnd w:id="11"/>
      <w:bookmarkEnd w:id="12"/>
      <w:bookmarkEnd w:id="13"/>
    </w:p>
    <w:tbl>
      <w:tblPr>
        <w:tblStyle w:val="7"/>
        <w:tblW w:w="0" w:type="auto"/>
        <w:tblInd w:w="10" w:type="dxa"/>
        <w:tblLayout w:type="fixed"/>
        <w:tblCellMar>
          <w:top w:w="0" w:type="dxa"/>
          <w:left w:w="0" w:type="dxa"/>
          <w:bottom w:w="0" w:type="dxa"/>
          <w:right w:w="0" w:type="dxa"/>
        </w:tblCellMar>
      </w:tblPr>
      <w:tblGrid>
        <w:gridCol w:w="3822"/>
        <w:gridCol w:w="1390"/>
        <w:gridCol w:w="1387"/>
        <w:gridCol w:w="1520"/>
        <w:gridCol w:w="1313"/>
      </w:tblGrid>
      <w:tr>
        <w:tblPrEx>
          <w:tblCellMar>
            <w:top w:w="0" w:type="dxa"/>
            <w:left w:w="0" w:type="dxa"/>
            <w:bottom w:w="0" w:type="dxa"/>
            <w:right w:w="0" w:type="dxa"/>
          </w:tblCellMar>
        </w:tblPrEx>
        <w:trPr>
          <w:trHeight w:val="637" w:hRule="atLeast"/>
        </w:trPr>
        <w:tc>
          <w:tcPr>
            <w:tcW w:w="38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eastAsia="宋体" w:cs="宋体"/>
                <w:color w:val="auto"/>
                <w:sz w:val="22"/>
                <w:szCs w:val="22"/>
                <w:u w:val="none"/>
                <w:lang w:bidi="ar-SA"/>
              </w:rPr>
            </w:pPr>
            <w:r>
              <w:rPr>
                <w:rFonts w:hint="eastAsia" w:ascii="宋体" w:eastAsia="宋体" w:cs="宋体"/>
                <w:color w:val="auto"/>
                <w:kern w:val="0"/>
                <w:sz w:val="22"/>
                <w:szCs w:val="22"/>
                <w:u w:val="none"/>
                <w:lang w:val="en-US" w:eastAsia="zh-CN" w:bidi="ar"/>
              </w:rPr>
              <w:t xml:space="preserve"> 项目名称</w:t>
            </w:r>
          </w:p>
        </w:tc>
        <w:tc>
          <w:tcPr>
            <w:tcW w:w="13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eastAsia="宋体" w:cs="宋体"/>
                <w:color w:val="auto"/>
                <w:sz w:val="22"/>
                <w:szCs w:val="22"/>
                <w:u w:val="none"/>
                <w:lang w:bidi="ar-SA"/>
              </w:rPr>
            </w:pPr>
            <w:r>
              <w:rPr>
                <w:rFonts w:hint="eastAsia" w:ascii="宋体" w:eastAsia="宋体" w:cs="宋体"/>
                <w:color w:val="auto"/>
                <w:kern w:val="0"/>
                <w:sz w:val="22"/>
                <w:szCs w:val="22"/>
                <w:u w:val="none"/>
                <w:lang w:val="en-US" w:eastAsia="zh-CN" w:bidi="ar"/>
              </w:rPr>
              <w:t>年初财政拨款结转和结余</w:t>
            </w:r>
          </w:p>
        </w:tc>
        <w:tc>
          <w:tcPr>
            <w:tcW w:w="13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eastAsia="宋体" w:cs="宋体"/>
                <w:color w:val="auto"/>
                <w:sz w:val="22"/>
                <w:szCs w:val="22"/>
                <w:u w:val="none"/>
                <w:lang w:bidi="ar-SA"/>
              </w:rPr>
            </w:pPr>
            <w:r>
              <w:rPr>
                <w:rFonts w:hint="eastAsia" w:ascii="宋体" w:eastAsia="宋体" w:cs="宋体"/>
                <w:color w:val="auto"/>
                <w:kern w:val="0"/>
                <w:sz w:val="22"/>
                <w:szCs w:val="22"/>
                <w:u w:val="none"/>
                <w:lang w:val="en-US" w:eastAsia="zh-CN" w:bidi="ar"/>
              </w:rPr>
              <w:t>财政拨款收入</w:t>
            </w:r>
          </w:p>
        </w:tc>
        <w:tc>
          <w:tcPr>
            <w:tcW w:w="1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eastAsia="宋体" w:cs="宋体"/>
                <w:color w:val="auto"/>
                <w:sz w:val="22"/>
                <w:szCs w:val="22"/>
                <w:u w:val="none"/>
                <w:lang w:bidi="ar-SA"/>
              </w:rPr>
            </w:pPr>
            <w:r>
              <w:rPr>
                <w:rFonts w:hint="eastAsia" w:ascii="宋体" w:eastAsia="宋体" w:cs="宋体"/>
                <w:color w:val="auto"/>
                <w:kern w:val="0"/>
                <w:sz w:val="22"/>
                <w:szCs w:val="22"/>
                <w:u w:val="none"/>
                <w:lang w:val="en-US" w:eastAsia="zh-CN" w:bidi="ar"/>
              </w:rPr>
              <w:t>财政拨款支出</w:t>
            </w:r>
          </w:p>
        </w:tc>
        <w:tc>
          <w:tcPr>
            <w:tcW w:w="13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eastAsia="宋体" w:cs="宋体"/>
                <w:color w:val="auto"/>
                <w:sz w:val="22"/>
                <w:szCs w:val="22"/>
                <w:u w:val="none"/>
                <w:lang w:bidi="ar-SA"/>
              </w:rPr>
            </w:pPr>
            <w:r>
              <w:rPr>
                <w:rFonts w:hint="eastAsia" w:ascii="宋体" w:eastAsia="宋体" w:cs="宋体"/>
                <w:color w:val="auto"/>
                <w:kern w:val="0"/>
                <w:sz w:val="22"/>
                <w:szCs w:val="22"/>
                <w:u w:val="none"/>
                <w:lang w:val="en-US" w:eastAsia="zh-CN" w:bidi="ar"/>
              </w:rPr>
              <w:t>年末财政拨款结转</w:t>
            </w:r>
          </w:p>
        </w:tc>
      </w:tr>
      <w:tr>
        <w:tblPrEx>
          <w:tblCellMar>
            <w:top w:w="0" w:type="dxa"/>
            <w:left w:w="0" w:type="dxa"/>
            <w:bottom w:w="0" w:type="dxa"/>
            <w:right w:w="0" w:type="dxa"/>
          </w:tblCellMar>
        </w:tblPrEx>
        <w:trPr>
          <w:trHeight w:val="329" w:hRule="atLeast"/>
        </w:trPr>
        <w:tc>
          <w:tcPr>
            <w:tcW w:w="382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eastAsia="宋体" w:cs="宋体"/>
                <w:color w:val="auto"/>
                <w:sz w:val="22"/>
                <w:szCs w:val="22"/>
                <w:u w:val="none"/>
                <w:lang w:bidi="ar-SA"/>
              </w:rPr>
            </w:pPr>
            <w:r>
              <w:rPr>
                <w:rFonts w:hint="eastAsia" w:ascii="宋体" w:eastAsia="宋体" w:cs="宋体"/>
                <w:color w:val="auto"/>
                <w:kern w:val="0"/>
                <w:sz w:val="22"/>
                <w:szCs w:val="22"/>
                <w:u w:val="none"/>
                <w:lang w:val="en-US" w:eastAsia="zh-CN" w:bidi="ar"/>
              </w:rPr>
              <w:t>奖金</w:t>
            </w:r>
          </w:p>
        </w:tc>
        <w:tc>
          <w:tcPr>
            <w:tcW w:w="13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3.54</w:t>
            </w:r>
          </w:p>
        </w:tc>
        <w:tc>
          <w:tcPr>
            <w:tcW w:w="138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w:t>
            </w:r>
          </w:p>
        </w:tc>
        <w:tc>
          <w:tcPr>
            <w:tcW w:w="1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3.54</w:t>
            </w:r>
          </w:p>
        </w:tc>
        <w:tc>
          <w:tcPr>
            <w:tcW w:w="13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w:t>
            </w:r>
          </w:p>
        </w:tc>
      </w:tr>
      <w:tr>
        <w:tblPrEx>
          <w:tblCellMar>
            <w:top w:w="0" w:type="dxa"/>
            <w:left w:w="0" w:type="dxa"/>
            <w:bottom w:w="0" w:type="dxa"/>
            <w:right w:w="0" w:type="dxa"/>
          </w:tblCellMar>
        </w:tblPrEx>
        <w:trPr>
          <w:trHeight w:val="329" w:hRule="atLeast"/>
        </w:trPr>
        <w:tc>
          <w:tcPr>
            <w:tcW w:w="382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eastAsia="宋体" w:cs="宋体"/>
                <w:color w:val="auto"/>
                <w:sz w:val="22"/>
                <w:szCs w:val="22"/>
                <w:u w:val="none"/>
                <w:lang w:bidi="ar-SA"/>
              </w:rPr>
            </w:pPr>
            <w:r>
              <w:rPr>
                <w:rFonts w:hint="eastAsia" w:ascii="宋体" w:eastAsia="宋体" w:cs="宋体"/>
                <w:color w:val="auto"/>
                <w:kern w:val="0"/>
                <w:sz w:val="22"/>
                <w:szCs w:val="22"/>
                <w:u w:val="none"/>
                <w:lang w:val="en-US" w:eastAsia="zh-CN" w:bidi="ar"/>
              </w:rPr>
              <w:t>发展与改革事务支出</w:t>
            </w:r>
          </w:p>
        </w:tc>
        <w:tc>
          <w:tcPr>
            <w:tcW w:w="13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10.00</w:t>
            </w:r>
          </w:p>
        </w:tc>
        <w:tc>
          <w:tcPr>
            <w:tcW w:w="1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8.00</w:t>
            </w:r>
          </w:p>
        </w:tc>
        <w:tc>
          <w:tcPr>
            <w:tcW w:w="13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2.00</w:t>
            </w:r>
          </w:p>
        </w:tc>
      </w:tr>
      <w:tr>
        <w:tblPrEx>
          <w:tblCellMar>
            <w:top w:w="0" w:type="dxa"/>
            <w:left w:w="0" w:type="dxa"/>
            <w:bottom w:w="0" w:type="dxa"/>
            <w:right w:w="0" w:type="dxa"/>
          </w:tblCellMar>
        </w:tblPrEx>
        <w:trPr>
          <w:trHeight w:val="329" w:hRule="atLeast"/>
        </w:trPr>
        <w:tc>
          <w:tcPr>
            <w:tcW w:w="382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eastAsia="宋体" w:cs="宋体"/>
                <w:color w:val="auto"/>
                <w:sz w:val="22"/>
                <w:szCs w:val="22"/>
                <w:u w:val="none"/>
                <w:lang w:bidi="ar-SA"/>
              </w:rPr>
            </w:pPr>
            <w:r>
              <w:rPr>
                <w:rFonts w:hint="eastAsia" w:ascii="宋体" w:eastAsia="宋体" w:cs="宋体"/>
                <w:color w:val="auto"/>
                <w:kern w:val="0"/>
                <w:sz w:val="22"/>
                <w:szCs w:val="22"/>
                <w:u w:val="none"/>
                <w:lang w:val="en-US" w:eastAsia="zh-CN" w:bidi="ar"/>
              </w:rPr>
              <w:t>妇女工作经费</w:t>
            </w:r>
          </w:p>
        </w:tc>
        <w:tc>
          <w:tcPr>
            <w:tcW w:w="13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0.44</w:t>
            </w:r>
          </w:p>
        </w:tc>
        <w:tc>
          <w:tcPr>
            <w:tcW w:w="138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108.20</w:t>
            </w:r>
          </w:p>
        </w:tc>
        <w:tc>
          <w:tcPr>
            <w:tcW w:w="1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100.90</w:t>
            </w:r>
          </w:p>
        </w:tc>
        <w:tc>
          <w:tcPr>
            <w:tcW w:w="13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7.74</w:t>
            </w:r>
          </w:p>
        </w:tc>
      </w:tr>
      <w:tr>
        <w:tblPrEx>
          <w:tblCellMar>
            <w:top w:w="0" w:type="dxa"/>
            <w:left w:w="0" w:type="dxa"/>
            <w:bottom w:w="0" w:type="dxa"/>
            <w:right w:w="0" w:type="dxa"/>
          </w:tblCellMar>
        </w:tblPrEx>
        <w:trPr>
          <w:trHeight w:val="329" w:hRule="atLeast"/>
        </w:trPr>
        <w:tc>
          <w:tcPr>
            <w:tcW w:w="382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eastAsia="宋体" w:cs="宋体"/>
                <w:color w:val="auto"/>
                <w:sz w:val="22"/>
                <w:szCs w:val="22"/>
                <w:u w:val="none"/>
                <w:lang w:bidi="ar-SA"/>
              </w:rPr>
            </w:pPr>
            <w:r>
              <w:rPr>
                <w:rFonts w:hint="eastAsia" w:ascii="宋体" w:eastAsia="宋体" w:cs="宋体"/>
                <w:color w:val="auto"/>
                <w:kern w:val="0"/>
                <w:sz w:val="22"/>
                <w:szCs w:val="22"/>
                <w:u w:val="none"/>
                <w:lang w:val="en-US" w:eastAsia="zh-CN" w:bidi="ar"/>
              </w:rPr>
              <w:t>心系洪灾守护三湘</w:t>
            </w:r>
          </w:p>
        </w:tc>
        <w:tc>
          <w:tcPr>
            <w:tcW w:w="13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17.30</w:t>
            </w:r>
          </w:p>
        </w:tc>
        <w:tc>
          <w:tcPr>
            <w:tcW w:w="1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15.20</w:t>
            </w:r>
          </w:p>
        </w:tc>
        <w:tc>
          <w:tcPr>
            <w:tcW w:w="13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2.10</w:t>
            </w:r>
          </w:p>
        </w:tc>
      </w:tr>
      <w:tr>
        <w:tblPrEx>
          <w:tblCellMar>
            <w:top w:w="0" w:type="dxa"/>
            <w:left w:w="0" w:type="dxa"/>
            <w:bottom w:w="0" w:type="dxa"/>
            <w:right w:w="0" w:type="dxa"/>
          </w:tblCellMar>
        </w:tblPrEx>
        <w:trPr>
          <w:trHeight w:val="329" w:hRule="atLeast"/>
        </w:trPr>
        <w:tc>
          <w:tcPr>
            <w:tcW w:w="382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eastAsia="宋体" w:cs="宋体"/>
                <w:color w:val="auto"/>
                <w:sz w:val="22"/>
                <w:szCs w:val="22"/>
                <w:u w:val="none"/>
                <w:lang w:bidi="ar-SA"/>
              </w:rPr>
            </w:pPr>
            <w:r>
              <w:rPr>
                <w:rFonts w:hint="eastAsia" w:ascii="宋体" w:eastAsia="宋体" w:cs="宋体"/>
                <w:color w:val="auto"/>
                <w:kern w:val="0"/>
                <w:sz w:val="22"/>
                <w:szCs w:val="22"/>
                <w:u w:val="none"/>
                <w:lang w:val="en-US" w:eastAsia="zh-CN" w:bidi="ar"/>
              </w:rPr>
              <w:t>科学育儿孕育新生</w:t>
            </w:r>
          </w:p>
        </w:tc>
        <w:tc>
          <w:tcPr>
            <w:tcW w:w="13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2.10</w:t>
            </w:r>
          </w:p>
        </w:tc>
        <w:tc>
          <w:tcPr>
            <w:tcW w:w="1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2.10</w:t>
            </w:r>
          </w:p>
        </w:tc>
        <w:tc>
          <w:tcPr>
            <w:tcW w:w="13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w:t>
            </w:r>
          </w:p>
        </w:tc>
      </w:tr>
      <w:tr>
        <w:tblPrEx>
          <w:tblCellMar>
            <w:top w:w="0" w:type="dxa"/>
            <w:left w:w="0" w:type="dxa"/>
            <w:bottom w:w="0" w:type="dxa"/>
            <w:right w:w="0" w:type="dxa"/>
          </w:tblCellMar>
        </w:tblPrEx>
        <w:trPr>
          <w:trHeight w:val="329" w:hRule="atLeast"/>
        </w:trPr>
        <w:tc>
          <w:tcPr>
            <w:tcW w:w="382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eastAsia="宋体" w:cs="宋体"/>
                <w:color w:val="auto"/>
                <w:sz w:val="22"/>
                <w:szCs w:val="22"/>
                <w:u w:val="none"/>
                <w:lang w:bidi="ar-SA"/>
              </w:rPr>
            </w:pPr>
            <w:r>
              <w:rPr>
                <w:rFonts w:hint="eastAsia" w:ascii="宋体" w:eastAsia="宋体" w:cs="宋体"/>
                <w:color w:val="auto"/>
                <w:kern w:val="0"/>
                <w:sz w:val="22"/>
                <w:szCs w:val="22"/>
                <w:u w:val="none"/>
                <w:lang w:val="en-US" w:eastAsia="zh-CN" w:bidi="ar"/>
              </w:rPr>
              <w:t>毒品预防教育工作经费</w:t>
            </w:r>
          </w:p>
        </w:tc>
        <w:tc>
          <w:tcPr>
            <w:tcW w:w="13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4.00</w:t>
            </w:r>
          </w:p>
        </w:tc>
        <w:tc>
          <w:tcPr>
            <w:tcW w:w="1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w:t>
            </w:r>
          </w:p>
        </w:tc>
        <w:tc>
          <w:tcPr>
            <w:tcW w:w="13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4.00</w:t>
            </w:r>
          </w:p>
        </w:tc>
      </w:tr>
      <w:tr>
        <w:tblPrEx>
          <w:tblCellMar>
            <w:top w:w="0" w:type="dxa"/>
            <w:left w:w="0" w:type="dxa"/>
            <w:bottom w:w="0" w:type="dxa"/>
            <w:right w:w="0" w:type="dxa"/>
          </w:tblCellMar>
        </w:tblPrEx>
        <w:trPr>
          <w:trHeight w:val="329" w:hRule="atLeast"/>
        </w:trPr>
        <w:tc>
          <w:tcPr>
            <w:tcW w:w="382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eastAsia="宋体" w:cs="宋体"/>
                <w:color w:val="auto"/>
                <w:sz w:val="22"/>
                <w:szCs w:val="22"/>
                <w:u w:val="none"/>
                <w:lang w:bidi="ar-SA"/>
              </w:rPr>
            </w:pPr>
            <w:r>
              <w:rPr>
                <w:rFonts w:hint="eastAsia" w:ascii="宋体" w:eastAsia="宋体" w:cs="宋体"/>
                <w:color w:val="auto"/>
                <w:kern w:val="0"/>
                <w:sz w:val="22"/>
                <w:szCs w:val="22"/>
                <w:u w:val="none"/>
                <w:lang w:val="en-US" w:eastAsia="zh-CN" w:bidi="ar"/>
              </w:rPr>
              <w:t>预算调整项目</w:t>
            </w:r>
          </w:p>
        </w:tc>
        <w:tc>
          <w:tcPr>
            <w:tcW w:w="13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30.00</w:t>
            </w:r>
          </w:p>
        </w:tc>
        <w:tc>
          <w:tcPr>
            <w:tcW w:w="1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30.00</w:t>
            </w:r>
          </w:p>
        </w:tc>
        <w:tc>
          <w:tcPr>
            <w:tcW w:w="13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w:t>
            </w:r>
          </w:p>
        </w:tc>
      </w:tr>
      <w:tr>
        <w:tblPrEx>
          <w:tblCellMar>
            <w:top w:w="0" w:type="dxa"/>
            <w:left w:w="0" w:type="dxa"/>
            <w:bottom w:w="0" w:type="dxa"/>
            <w:right w:w="0" w:type="dxa"/>
          </w:tblCellMar>
        </w:tblPrEx>
        <w:trPr>
          <w:trHeight w:val="321" w:hRule="atLeast"/>
        </w:trPr>
        <w:tc>
          <w:tcPr>
            <w:tcW w:w="382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eastAsia="宋体" w:cs="宋体"/>
                <w:color w:val="auto"/>
                <w:sz w:val="22"/>
                <w:szCs w:val="22"/>
                <w:u w:val="none"/>
                <w:lang w:bidi="ar-SA"/>
              </w:rPr>
            </w:pPr>
            <w:r>
              <w:rPr>
                <w:rFonts w:hint="eastAsia" w:ascii="宋体" w:eastAsia="宋体" w:cs="宋体"/>
                <w:color w:val="auto"/>
                <w:kern w:val="0"/>
                <w:sz w:val="22"/>
                <w:szCs w:val="22"/>
                <w:u w:val="none"/>
                <w:lang w:val="en-US" w:eastAsia="zh-CN" w:bidi="ar"/>
              </w:rPr>
              <w:t>农业发展专项资金</w:t>
            </w:r>
          </w:p>
        </w:tc>
        <w:tc>
          <w:tcPr>
            <w:tcW w:w="13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20.00</w:t>
            </w:r>
          </w:p>
        </w:tc>
        <w:tc>
          <w:tcPr>
            <w:tcW w:w="1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20.00</w:t>
            </w:r>
          </w:p>
        </w:tc>
        <w:tc>
          <w:tcPr>
            <w:tcW w:w="13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w:t>
            </w:r>
          </w:p>
        </w:tc>
      </w:tr>
      <w:tr>
        <w:tblPrEx>
          <w:tblCellMar>
            <w:top w:w="0" w:type="dxa"/>
            <w:left w:w="0" w:type="dxa"/>
            <w:bottom w:w="0" w:type="dxa"/>
            <w:right w:w="0" w:type="dxa"/>
          </w:tblCellMar>
        </w:tblPrEx>
        <w:trPr>
          <w:trHeight w:val="329" w:hRule="atLeast"/>
        </w:trPr>
        <w:tc>
          <w:tcPr>
            <w:tcW w:w="382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eastAsia="宋体" w:cs="宋体"/>
                <w:color w:val="auto"/>
                <w:sz w:val="22"/>
                <w:szCs w:val="22"/>
                <w:u w:val="none"/>
                <w:lang w:bidi="ar-SA"/>
              </w:rPr>
            </w:pPr>
            <w:r>
              <w:rPr>
                <w:rFonts w:hint="eastAsia" w:ascii="宋体" w:eastAsia="宋体" w:cs="宋体"/>
                <w:color w:val="auto"/>
                <w:kern w:val="0"/>
                <w:sz w:val="22"/>
                <w:szCs w:val="22"/>
                <w:u w:val="none"/>
                <w:lang w:val="en-US" w:eastAsia="zh-CN" w:bidi="ar"/>
              </w:rPr>
              <w:t>农产品线上推广活动</w:t>
            </w:r>
          </w:p>
        </w:tc>
        <w:tc>
          <w:tcPr>
            <w:tcW w:w="13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10.00</w:t>
            </w:r>
          </w:p>
        </w:tc>
        <w:tc>
          <w:tcPr>
            <w:tcW w:w="1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w:t>
            </w:r>
          </w:p>
        </w:tc>
        <w:tc>
          <w:tcPr>
            <w:tcW w:w="13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000000"/>
                <w:kern w:val="0"/>
                <w:sz w:val="20"/>
                <w:szCs w:val="20"/>
                <w:u w:val="none"/>
                <w:lang w:val="en-US" w:eastAsia="zh-CN" w:bidi="ar"/>
              </w:rPr>
              <w:t>10.00</w:t>
            </w:r>
          </w:p>
        </w:tc>
      </w:tr>
      <w:tr>
        <w:tblPrEx>
          <w:tblCellMar>
            <w:top w:w="0" w:type="dxa"/>
            <w:left w:w="0" w:type="dxa"/>
            <w:bottom w:w="0" w:type="dxa"/>
            <w:right w:w="0" w:type="dxa"/>
          </w:tblCellMar>
        </w:tblPrEx>
        <w:trPr>
          <w:trHeight w:val="329" w:hRule="atLeast"/>
        </w:trPr>
        <w:tc>
          <w:tcPr>
            <w:tcW w:w="382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eastAsia" w:ascii="宋体" w:eastAsia="宋体" w:cs="宋体"/>
                <w:color w:val="auto"/>
                <w:sz w:val="22"/>
                <w:szCs w:val="22"/>
                <w:u w:val="none"/>
                <w:lang w:bidi="ar-SA"/>
              </w:rPr>
            </w:pPr>
            <w:r>
              <w:rPr>
                <w:rFonts w:hint="eastAsia" w:ascii="宋体" w:eastAsia="宋体" w:cs="宋体"/>
                <w:color w:val="auto"/>
                <w:kern w:val="0"/>
                <w:sz w:val="22"/>
                <w:szCs w:val="22"/>
                <w:u w:val="none"/>
                <w:lang w:val="en-US" w:eastAsia="zh-CN" w:bidi="ar"/>
              </w:rPr>
              <w:t>合   计</w:t>
            </w:r>
          </w:p>
        </w:tc>
        <w:tc>
          <w:tcPr>
            <w:tcW w:w="13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kern w:val="0"/>
                <w:sz w:val="20"/>
                <w:szCs w:val="20"/>
                <w:u w:val="none"/>
                <w:lang w:val="en-US" w:eastAsia="zh-CN" w:bidi="ar"/>
              </w:rPr>
            </w:pPr>
            <w:r>
              <w:rPr>
                <w:rFonts w:hint="default" w:ascii="Times New Roman" w:hAnsi="Times New Roman" w:eastAsia="宋体" w:cs="Times New Roman"/>
                <w:color w:val="000000"/>
                <w:kern w:val="0"/>
                <w:sz w:val="20"/>
                <w:szCs w:val="20"/>
                <w:u w:val="none"/>
                <w:lang w:val="en-US" w:eastAsia="zh-CN" w:bidi="ar"/>
              </w:rPr>
              <w:t>3.97</w:t>
            </w:r>
          </w:p>
        </w:tc>
        <w:tc>
          <w:tcPr>
            <w:tcW w:w="138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kern w:val="0"/>
                <w:sz w:val="20"/>
                <w:szCs w:val="20"/>
                <w:u w:val="none"/>
                <w:lang w:val="en-US" w:eastAsia="zh-CN" w:bidi="ar"/>
              </w:rPr>
            </w:pPr>
            <w:r>
              <w:rPr>
                <w:rFonts w:hint="default" w:ascii="Times New Roman" w:hAnsi="Times New Roman" w:eastAsia="宋体" w:cs="Times New Roman"/>
                <w:color w:val="000000"/>
                <w:kern w:val="0"/>
                <w:sz w:val="20"/>
                <w:szCs w:val="20"/>
                <w:u w:val="none"/>
                <w:lang w:val="en-US" w:eastAsia="zh-CN" w:bidi="ar"/>
              </w:rPr>
              <w:t>206.60</w:t>
            </w:r>
          </w:p>
        </w:tc>
        <w:tc>
          <w:tcPr>
            <w:tcW w:w="1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kern w:val="0"/>
                <w:sz w:val="20"/>
                <w:szCs w:val="20"/>
                <w:u w:val="none"/>
                <w:lang w:val="en-US" w:eastAsia="zh-CN" w:bidi="ar"/>
              </w:rPr>
            </w:pPr>
            <w:r>
              <w:rPr>
                <w:rFonts w:hint="default" w:ascii="Times New Roman" w:hAnsi="Times New Roman" w:eastAsia="宋体" w:cs="Times New Roman"/>
                <w:color w:val="000000"/>
                <w:kern w:val="0"/>
                <w:sz w:val="20"/>
                <w:szCs w:val="20"/>
                <w:u w:val="none"/>
                <w:lang w:val="en-US" w:eastAsia="zh-CN" w:bidi="ar"/>
              </w:rPr>
              <w:t>182.75</w:t>
            </w:r>
          </w:p>
        </w:tc>
        <w:tc>
          <w:tcPr>
            <w:tcW w:w="13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kern w:val="0"/>
                <w:sz w:val="20"/>
                <w:szCs w:val="20"/>
                <w:u w:val="none"/>
                <w:lang w:val="en-US" w:eastAsia="zh-CN" w:bidi="ar"/>
              </w:rPr>
            </w:pPr>
            <w:r>
              <w:rPr>
                <w:rFonts w:hint="default" w:ascii="Times New Roman" w:hAnsi="Times New Roman" w:eastAsia="宋体" w:cs="Times New Roman"/>
                <w:color w:val="000000"/>
                <w:kern w:val="0"/>
                <w:sz w:val="20"/>
                <w:szCs w:val="20"/>
                <w:u w:val="none"/>
                <w:lang w:val="en-US" w:eastAsia="zh-CN" w:bidi="ar"/>
              </w:rPr>
              <w:t>27.83</w:t>
            </w:r>
          </w:p>
        </w:tc>
      </w:tr>
    </w:tbl>
    <w:p>
      <w:pPr>
        <w:pStyle w:val="12"/>
        <w:keepNext w:val="0"/>
        <w:keepLines w:val="0"/>
        <w:pageBreakBefore w:val="0"/>
        <w:widowControl/>
        <w:kinsoku/>
        <w:wordWrap/>
        <w:overflowPunct/>
        <w:topLinePunct w:val="0"/>
        <w:autoSpaceDE/>
        <w:autoSpaceDN/>
        <w:bidi w:val="0"/>
        <w:adjustRightInd/>
        <w:snapToGrid/>
        <w:spacing w:line="620" w:lineRule="exact"/>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 xml:space="preserve"> 3、项目管理情况</w:t>
      </w:r>
    </w:p>
    <w:p>
      <w:pPr>
        <w:pStyle w:val="12"/>
        <w:keepNext w:val="0"/>
        <w:keepLines w:val="0"/>
        <w:pageBreakBefore w:val="0"/>
        <w:widowControl/>
        <w:kinsoku/>
        <w:wordWrap/>
        <w:overflowPunct/>
        <w:topLinePunct w:val="0"/>
        <w:autoSpaceDE/>
        <w:autoSpaceDN/>
        <w:bidi w:val="0"/>
        <w:adjustRightInd/>
        <w:snapToGrid/>
        <w:spacing w:line="620" w:lineRule="exact"/>
        <w:textAlignment w:val="auto"/>
        <w:rPr>
          <w:rFonts w:hint="eastAsia" w:ascii="方正仿宋_GB2312" w:eastAsia="方正仿宋_GB2312" w:cs="方正仿宋_GB2312"/>
          <w:color w:val="auto"/>
          <w:sz w:val="32"/>
          <w:szCs w:val="32"/>
          <w:lang w:val="en-US" w:eastAsia="zh-CN" w:bidi="ar-SA"/>
        </w:rPr>
      </w:pPr>
      <w:r>
        <w:rPr>
          <w:rFonts w:hint="eastAsia" w:ascii="方正仿宋_GB2312" w:eastAsia="方正仿宋_GB2312" w:cs="方正仿宋_GB2312"/>
          <w:color w:val="auto"/>
          <w:sz w:val="32"/>
          <w:szCs w:val="32"/>
          <w:lang w:val="en-US" w:eastAsia="zh-CN" w:bidi="ar-SA"/>
        </w:rPr>
        <w:t>为加强项目资金管理，规范项目管理行为，提高项目管理水平，保证项目顺利实施，本单位制定了财务管理制度、项目资金管理制度、专项资金管理办法等，对项目管理职责、申报与组织实施、项目资金的管理、监督检查与验收等进行了规定，成立了工作领导小组、明确工作职责、确定责任单位、建设对象、建设计划，制定工作方案、项目实施细则、考核办法等。2020年本单位项目支出，基本能够严格按照制度、规定等进行。</w:t>
      </w:r>
    </w:p>
    <w:p>
      <w:pPr>
        <w:pStyle w:val="12"/>
        <w:keepNext w:val="0"/>
        <w:keepLines w:val="0"/>
        <w:pageBreakBefore w:val="0"/>
        <w:widowControl/>
        <w:numPr>
          <w:ilvl w:val="0"/>
          <w:numId w:val="2"/>
        </w:numPr>
        <w:kinsoku/>
        <w:wordWrap/>
        <w:overflowPunct/>
        <w:topLinePunct w:val="0"/>
        <w:autoSpaceDE/>
        <w:autoSpaceDN/>
        <w:bidi w:val="0"/>
        <w:adjustRightInd/>
        <w:snapToGrid/>
        <w:spacing w:line="620" w:lineRule="exact"/>
        <w:ind w:left="0" w:firstLine="640" w:firstLineChars="200"/>
        <w:textAlignment w:val="auto"/>
        <w:outlineLvl w:val="0"/>
        <w:rPr>
          <w:rFonts w:ascii="Times New Roman" w:hAnsi="Times New Roman" w:eastAsia="黑体"/>
          <w:sz w:val="32"/>
          <w:szCs w:val="32"/>
        </w:rPr>
      </w:pPr>
      <w:bookmarkStart w:id="14" w:name="_Toc12821"/>
      <w:r>
        <w:rPr>
          <w:rFonts w:ascii="Times New Roman" w:hAnsi="Times New Roman" w:eastAsia="黑体"/>
          <w:sz w:val="32"/>
          <w:szCs w:val="32"/>
        </w:rPr>
        <w:t>政府性基金预算支出情况</w:t>
      </w:r>
      <w:bookmarkEnd w:id="14"/>
    </w:p>
    <w:p>
      <w:pPr>
        <w:pStyle w:val="12"/>
        <w:keepNext w:val="0"/>
        <w:keepLines w:val="0"/>
        <w:pageBreakBefore w:val="0"/>
        <w:widowControl/>
        <w:kinsoku/>
        <w:wordWrap/>
        <w:overflowPunct/>
        <w:topLinePunct w:val="0"/>
        <w:autoSpaceDE/>
        <w:autoSpaceDN/>
        <w:bidi w:val="0"/>
        <w:adjustRightInd/>
        <w:snapToGrid/>
        <w:spacing w:line="620" w:lineRule="exact"/>
        <w:textAlignment w:val="auto"/>
        <w:rPr>
          <w:rFonts w:hint="eastAsia" w:ascii="方正仿宋_GB2312" w:eastAsia="方正仿宋_GB2312" w:cs="方正仿宋_GB2312"/>
          <w:color w:val="auto"/>
          <w:sz w:val="32"/>
          <w:szCs w:val="32"/>
          <w:lang w:val="en-US" w:eastAsia="zh-CN" w:bidi="ar-SA"/>
        </w:rPr>
      </w:pPr>
      <w:r>
        <w:rPr>
          <w:rFonts w:hint="eastAsia" w:ascii="方正仿宋_GB2312" w:eastAsia="方正仿宋_GB2312" w:cs="方正仿宋_GB2312"/>
          <w:color w:val="auto"/>
          <w:sz w:val="32"/>
          <w:szCs w:val="32"/>
          <w:lang w:val="en-US" w:eastAsia="zh-CN" w:bidi="ar-SA"/>
        </w:rPr>
        <w:t>本年政府性基金收入5万元，主要用于城乡社区相关支出。</w:t>
      </w:r>
    </w:p>
    <w:tbl>
      <w:tblPr>
        <w:tblStyle w:val="7"/>
        <w:tblW w:w="0" w:type="auto"/>
        <w:tblInd w:w="10" w:type="dxa"/>
        <w:tblLayout w:type="fixed"/>
        <w:tblCellMar>
          <w:top w:w="0" w:type="dxa"/>
          <w:left w:w="0" w:type="dxa"/>
          <w:bottom w:w="0" w:type="dxa"/>
          <w:right w:w="0" w:type="dxa"/>
        </w:tblCellMar>
      </w:tblPr>
      <w:tblGrid>
        <w:gridCol w:w="3822"/>
        <w:gridCol w:w="1390"/>
        <w:gridCol w:w="1387"/>
        <w:gridCol w:w="1520"/>
        <w:gridCol w:w="1313"/>
      </w:tblGrid>
      <w:tr>
        <w:tblPrEx>
          <w:tblCellMar>
            <w:top w:w="0" w:type="dxa"/>
            <w:left w:w="0" w:type="dxa"/>
            <w:bottom w:w="0" w:type="dxa"/>
            <w:right w:w="0" w:type="dxa"/>
          </w:tblCellMar>
        </w:tblPrEx>
        <w:trPr>
          <w:trHeight w:val="637" w:hRule="atLeast"/>
        </w:trPr>
        <w:tc>
          <w:tcPr>
            <w:tcW w:w="38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eastAsia="宋体" w:cs="宋体"/>
                <w:color w:val="auto"/>
                <w:sz w:val="22"/>
                <w:szCs w:val="22"/>
                <w:u w:val="none"/>
                <w:lang w:bidi="ar-SA"/>
              </w:rPr>
            </w:pPr>
            <w:r>
              <w:rPr>
                <w:rFonts w:hint="eastAsia" w:ascii="宋体" w:eastAsia="宋体" w:cs="宋体"/>
                <w:color w:val="auto"/>
                <w:kern w:val="0"/>
                <w:sz w:val="22"/>
                <w:szCs w:val="22"/>
                <w:u w:val="none"/>
                <w:lang w:val="en-US" w:eastAsia="zh-CN" w:bidi="ar"/>
              </w:rPr>
              <w:t xml:space="preserve"> 项目名称</w:t>
            </w:r>
          </w:p>
        </w:tc>
        <w:tc>
          <w:tcPr>
            <w:tcW w:w="13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eastAsia="宋体" w:cs="宋体"/>
                <w:color w:val="auto"/>
                <w:sz w:val="22"/>
                <w:szCs w:val="22"/>
                <w:u w:val="none"/>
                <w:lang w:bidi="ar-SA"/>
              </w:rPr>
            </w:pPr>
            <w:r>
              <w:rPr>
                <w:rFonts w:hint="eastAsia" w:ascii="宋体" w:eastAsia="宋体" w:cs="宋体"/>
                <w:color w:val="auto"/>
                <w:kern w:val="0"/>
                <w:sz w:val="22"/>
                <w:szCs w:val="22"/>
                <w:u w:val="none"/>
                <w:lang w:val="en-US" w:eastAsia="zh-CN" w:bidi="ar"/>
              </w:rPr>
              <w:t>年初财政拨款结转和结余</w:t>
            </w:r>
          </w:p>
        </w:tc>
        <w:tc>
          <w:tcPr>
            <w:tcW w:w="13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eastAsia="宋体" w:cs="宋体"/>
                <w:color w:val="auto"/>
                <w:sz w:val="22"/>
                <w:szCs w:val="22"/>
                <w:u w:val="none"/>
                <w:lang w:bidi="ar-SA"/>
              </w:rPr>
            </w:pPr>
            <w:r>
              <w:rPr>
                <w:rFonts w:hint="eastAsia" w:ascii="宋体" w:eastAsia="宋体" w:cs="宋体"/>
                <w:color w:val="auto"/>
                <w:kern w:val="0"/>
                <w:sz w:val="22"/>
                <w:szCs w:val="22"/>
                <w:u w:val="none"/>
                <w:lang w:val="en-US" w:eastAsia="zh-CN" w:bidi="ar"/>
              </w:rPr>
              <w:t>财政拨款收入</w:t>
            </w:r>
          </w:p>
        </w:tc>
        <w:tc>
          <w:tcPr>
            <w:tcW w:w="15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eastAsia="宋体" w:cs="宋体"/>
                <w:color w:val="auto"/>
                <w:sz w:val="22"/>
                <w:szCs w:val="22"/>
                <w:u w:val="none"/>
                <w:lang w:bidi="ar-SA"/>
              </w:rPr>
            </w:pPr>
            <w:r>
              <w:rPr>
                <w:rFonts w:hint="eastAsia" w:ascii="宋体" w:eastAsia="宋体" w:cs="宋体"/>
                <w:color w:val="auto"/>
                <w:kern w:val="0"/>
                <w:sz w:val="22"/>
                <w:szCs w:val="22"/>
                <w:u w:val="none"/>
                <w:lang w:val="en-US" w:eastAsia="zh-CN" w:bidi="ar"/>
              </w:rPr>
              <w:t>财政拨款支出</w:t>
            </w:r>
          </w:p>
        </w:tc>
        <w:tc>
          <w:tcPr>
            <w:tcW w:w="13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eastAsia="宋体" w:cs="宋体"/>
                <w:color w:val="auto"/>
                <w:sz w:val="22"/>
                <w:szCs w:val="22"/>
                <w:u w:val="none"/>
                <w:lang w:bidi="ar-SA"/>
              </w:rPr>
            </w:pPr>
            <w:r>
              <w:rPr>
                <w:rFonts w:hint="eastAsia" w:ascii="宋体" w:eastAsia="宋体" w:cs="宋体"/>
                <w:color w:val="auto"/>
                <w:kern w:val="0"/>
                <w:sz w:val="22"/>
                <w:szCs w:val="22"/>
                <w:u w:val="none"/>
                <w:lang w:val="en-US" w:eastAsia="zh-CN" w:bidi="ar"/>
              </w:rPr>
              <w:t>年末财政拨款结转</w:t>
            </w:r>
          </w:p>
        </w:tc>
      </w:tr>
      <w:tr>
        <w:tblPrEx>
          <w:tblCellMar>
            <w:top w:w="0" w:type="dxa"/>
            <w:left w:w="0" w:type="dxa"/>
            <w:bottom w:w="0" w:type="dxa"/>
            <w:right w:w="0" w:type="dxa"/>
          </w:tblCellMar>
        </w:tblPrEx>
        <w:trPr>
          <w:trHeight w:val="329" w:hRule="atLeast"/>
        </w:trPr>
        <w:tc>
          <w:tcPr>
            <w:tcW w:w="382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eastAsia="宋体" w:cs="宋体"/>
                <w:color w:val="auto"/>
                <w:sz w:val="22"/>
                <w:szCs w:val="22"/>
                <w:u w:val="none"/>
                <w:lang w:bidi="ar-SA"/>
              </w:rPr>
            </w:pPr>
            <w:r>
              <w:rPr>
                <w:rFonts w:hint="eastAsia" w:ascii="宋体" w:eastAsia="宋体" w:cs="宋体"/>
                <w:color w:val="auto"/>
                <w:kern w:val="0"/>
                <w:sz w:val="22"/>
                <w:szCs w:val="22"/>
                <w:u w:val="none"/>
                <w:lang w:val="en-US" w:eastAsia="zh-CN" w:bidi="ar"/>
              </w:rPr>
              <w:t>土地使用权出让收入安排的支出</w:t>
            </w:r>
          </w:p>
        </w:tc>
        <w:tc>
          <w:tcPr>
            <w:tcW w:w="13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p>
        </w:tc>
        <w:tc>
          <w:tcPr>
            <w:tcW w:w="138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auto"/>
                <w:kern w:val="0"/>
                <w:sz w:val="20"/>
                <w:szCs w:val="20"/>
                <w:u w:val="none"/>
                <w:lang w:val="en-US" w:eastAsia="zh-CN" w:bidi="ar"/>
              </w:rPr>
              <w:t>5.00</w:t>
            </w:r>
          </w:p>
        </w:tc>
        <w:tc>
          <w:tcPr>
            <w:tcW w:w="1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auto"/>
                <w:kern w:val="0"/>
                <w:sz w:val="20"/>
                <w:szCs w:val="20"/>
                <w:u w:val="none"/>
                <w:lang w:val="en-US" w:eastAsia="zh-CN" w:bidi="ar"/>
              </w:rPr>
              <w:t>3.01</w:t>
            </w:r>
          </w:p>
        </w:tc>
        <w:tc>
          <w:tcPr>
            <w:tcW w:w="13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auto"/>
                <w:kern w:val="0"/>
                <w:sz w:val="20"/>
                <w:szCs w:val="20"/>
                <w:u w:val="none"/>
                <w:lang w:val="en-US" w:eastAsia="zh-CN" w:bidi="ar"/>
              </w:rPr>
              <w:t>1.99</w:t>
            </w:r>
          </w:p>
        </w:tc>
      </w:tr>
      <w:tr>
        <w:tblPrEx>
          <w:tblCellMar>
            <w:top w:w="0" w:type="dxa"/>
            <w:left w:w="0" w:type="dxa"/>
            <w:bottom w:w="0" w:type="dxa"/>
            <w:right w:w="0" w:type="dxa"/>
          </w:tblCellMar>
        </w:tblPrEx>
        <w:trPr>
          <w:trHeight w:val="329" w:hRule="atLeast"/>
        </w:trPr>
        <w:tc>
          <w:tcPr>
            <w:tcW w:w="382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eastAsia" w:ascii="宋体" w:eastAsia="宋体" w:cs="宋体"/>
                <w:color w:val="auto"/>
                <w:sz w:val="22"/>
                <w:szCs w:val="22"/>
                <w:u w:val="none"/>
                <w:lang w:bidi="ar-SA"/>
              </w:rPr>
            </w:pPr>
            <w:r>
              <w:rPr>
                <w:rFonts w:hint="eastAsia" w:ascii="宋体" w:eastAsia="宋体" w:cs="宋体"/>
                <w:color w:val="auto"/>
                <w:kern w:val="0"/>
                <w:sz w:val="22"/>
                <w:szCs w:val="22"/>
                <w:u w:val="none"/>
                <w:lang w:val="en-US" w:eastAsia="zh-CN" w:bidi="ar"/>
              </w:rPr>
              <w:t>合   计</w:t>
            </w:r>
          </w:p>
        </w:tc>
        <w:tc>
          <w:tcPr>
            <w:tcW w:w="139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p>
        </w:tc>
        <w:tc>
          <w:tcPr>
            <w:tcW w:w="138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auto"/>
                <w:kern w:val="0"/>
                <w:sz w:val="20"/>
                <w:szCs w:val="20"/>
                <w:u w:val="none"/>
                <w:lang w:val="en-US" w:eastAsia="zh-CN" w:bidi="ar"/>
              </w:rPr>
              <w:t>5.00</w:t>
            </w:r>
          </w:p>
        </w:tc>
        <w:tc>
          <w:tcPr>
            <w:tcW w:w="15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auto"/>
                <w:kern w:val="0"/>
                <w:sz w:val="20"/>
                <w:szCs w:val="20"/>
                <w:u w:val="none"/>
                <w:lang w:val="en-US" w:eastAsia="zh-CN" w:bidi="ar"/>
              </w:rPr>
              <w:t>3.01</w:t>
            </w:r>
          </w:p>
        </w:tc>
        <w:tc>
          <w:tcPr>
            <w:tcW w:w="13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pPr>
              <w:keepNext w:val="0"/>
              <w:keepLines w:val="0"/>
              <w:widowControl/>
              <w:suppressLineNumbers w:val="0"/>
              <w:jc w:val="center"/>
              <w:textAlignment w:val="bottom"/>
              <w:rPr>
                <w:rFonts w:hint="default" w:ascii="Times New Roman" w:hAnsi="Times New Roman" w:eastAsia="宋体" w:cs="Times New Roman"/>
                <w:color w:val="auto"/>
                <w:sz w:val="22"/>
                <w:szCs w:val="22"/>
                <w:u w:val="none"/>
                <w:lang w:bidi="ar-SA"/>
              </w:rPr>
            </w:pPr>
            <w:r>
              <w:rPr>
                <w:rFonts w:hint="default" w:ascii="Times New Roman" w:hAnsi="Times New Roman" w:eastAsia="宋体" w:cs="Times New Roman"/>
                <w:color w:val="auto"/>
                <w:kern w:val="0"/>
                <w:sz w:val="20"/>
                <w:szCs w:val="20"/>
                <w:u w:val="none"/>
                <w:lang w:val="en-US" w:eastAsia="zh-CN" w:bidi="ar"/>
              </w:rPr>
              <w:t>1.99</w:t>
            </w:r>
          </w:p>
        </w:tc>
      </w:tr>
    </w:tbl>
    <w:p>
      <w:pPr>
        <w:pStyle w:val="12"/>
        <w:keepNext w:val="0"/>
        <w:keepLines w:val="0"/>
        <w:pageBreakBefore w:val="0"/>
        <w:widowControl/>
        <w:kinsoku/>
        <w:wordWrap/>
        <w:overflowPunct/>
        <w:topLinePunct w:val="0"/>
        <w:autoSpaceDE/>
        <w:autoSpaceDN/>
        <w:bidi w:val="0"/>
        <w:adjustRightInd/>
        <w:snapToGrid/>
        <w:spacing w:line="620" w:lineRule="exact"/>
        <w:textAlignment w:val="auto"/>
        <w:outlineLvl w:val="0"/>
        <w:rPr>
          <w:rFonts w:ascii="Times New Roman" w:hAnsi="Times New Roman" w:eastAsia="黑体"/>
          <w:color w:val="auto"/>
          <w:sz w:val="32"/>
          <w:szCs w:val="32"/>
        </w:rPr>
      </w:pPr>
      <w:bookmarkStart w:id="15" w:name="_Toc11439"/>
      <w:r>
        <w:rPr>
          <w:rFonts w:hint="eastAsia" w:ascii="Times New Roman" w:hAnsi="Times New Roman" w:eastAsia="黑体"/>
          <w:color w:val="auto"/>
          <w:sz w:val="32"/>
          <w:szCs w:val="32"/>
        </w:rPr>
        <w:t>四、</w:t>
      </w:r>
      <w:r>
        <w:rPr>
          <w:rFonts w:ascii="Times New Roman" w:hAnsi="Times New Roman" w:eastAsia="黑体"/>
          <w:color w:val="auto"/>
          <w:sz w:val="32"/>
          <w:szCs w:val="32"/>
        </w:rPr>
        <w:t>国有资本经营预算支出情况</w:t>
      </w:r>
      <w:bookmarkEnd w:id="15"/>
    </w:p>
    <w:p>
      <w:pPr>
        <w:pStyle w:val="12"/>
        <w:keepNext w:val="0"/>
        <w:keepLines w:val="0"/>
        <w:pageBreakBefore w:val="0"/>
        <w:widowControl/>
        <w:kinsoku/>
        <w:wordWrap/>
        <w:overflowPunct/>
        <w:topLinePunct w:val="0"/>
        <w:autoSpaceDE/>
        <w:autoSpaceDN/>
        <w:bidi w:val="0"/>
        <w:adjustRightInd/>
        <w:snapToGrid/>
        <w:spacing w:line="620" w:lineRule="exact"/>
        <w:textAlignment w:val="auto"/>
        <w:rPr>
          <w:rFonts w:hint="eastAsia" w:ascii="方正仿宋_GB2312" w:eastAsia="方正仿宋_GB2312" w:cs="方正仿宋_GB2312"/>
          <w:color w:val="auto"/>
          <w:sz w:val="32"/>
          <w:szCs w:val="32"/>
          <w:lang w:val="en-US" w:eastAsia="zh-CN" w:bidi="ar-SA"/>
        </w:rPr>
      </w:pPr>
      <w:r>
        <w:rPr>
          <w:rFonts w:hint="eastAsia" w:ascii="方正仿宋_GB2312" w:eastAsia="方正仿宋_GB2312" w:cs="方正仿宋_GB2312"/>
          <w:color w:val="auto"/>
          <w:sz w:val="32"/>
          <w:szCs w:val="32"/>
          <w:lang w:val="en-US" w:eastAsia="zh-CN" w:bidi="ar-SA"/>
        </w:rPr>
        <w:t>本单位无国有资本经营预算。</w:t>
      </w:r>
    </w:p>
    <w:p>
      <w:pPr>
        <w:pStyle w:val="12"/>
        <w:keepNext w:val="0"/>
        <w:keepLines w:val="0"/>
        <w:pageBreakBefore w:val="0"/>
        <w:widowControl/>
        <w:kinsoku/>
        <w:wordWrap/>
        <w:overflowPunct/>
        <w:topLinePunct w:val="0"/>
        <w:autoSpaceDE/>
        <w:autoSpaceDN/>
        <w:bidi w:val="0"/>
        <w:adjustRightInd/>
        <w:snapToGrid/>
        <w:spacing w:line="620" w:lineRule="exact"/>
        <w:textAlignment w:val="auto"/>
        <w:outlineLvl w:val="0"/>
        <w:rPr>
          <w:rFonts w:ascii="Times New Roman" w:hAnsi="Times New Roman" w:eastAsia="黑体"/>
          <w:color w:val="auto"/>
          <w:sz w:val="32"/>
          <w:szCs w:val="32"/>
        </w:rPr>
      </w:pPr>
      <w:bookmarkStart w:id="16" w:name="_Toc27424"/>
      <w:r>
        <w:rPr>
          <w:rFonts w:hint="eastAsia" w:ascii="Times New Roman" w:hAnsi="Times New Roman" w:eastAsia="黑体"/>
          <w:color w:val="auto"/>
          <w:sz w:val="32"/>
          <w:szCs w:val="32"/>
        </w:rPr>
        <w:t>五、</w:t>
      </w:r>
      <w:r>
        <w:rPr>
          <w:rFonts w:ascii="Times New Roman" w:hAnsi="Times New Roman" w:eastAsia="黑体"/>
          <w:color w:val="auto"/>
          <w:sz w:val="32"/>
          <w:szCs w:val="32"/>
        </w:rPr>
        <w:t>社会保险基金预算支出情况</w:t>
      </w:r>
      <w:bookmarkEnd w:id="16"/>
    </w:p>
    <w:p>
      <w:pPr>
        <w:pStyle w:val="12"/>
        <w:keepNext w:val="0"/>
        <w:keepLines w:val="0"/>
        <w:pageBreakBefore w:val="0"/>
        <w:widowControl/>
        <w:kinsoku/>
        <w:wordWrap/>
        <w:overflowPunct/>
        <w:topLinePunct w:val="0"/>
        <w:autoSpaceDE/>
        <w:autoSpaceDN/>
        <w:bidi w:val="0"/>
        <w:adjustRightInd/>
        <w:snapToGrid/>
        <w:spacing w:line="620" w:lineRule="exact"/>
        <w:textAlignment w:val="auto"/>
        <w:rPr>
          <w:rFonts w:hint="eastAsia" w:ascii="方正仿宋_GB2312" w:eastAsia="方正仿宋_GB2312" w:cs="方正仿宋_GB2312"/>
          <w:color w:val="auto"/>
          <w:sz w:val="32"/>
          <w:szCs w:val="32"/>
          <w:lang w:val="en-US" w:eastAsia="zh-CN" w:bidi="ar-SA"/>
        </w:rPr>
      </w:pPr>
      <w:r>
        <w:rPr>
          <w:rFonts w:hint="eastAsia" w:ascii="方正仿宋_GB2312" w:eastAsia="方正仿宋_GB2312" w:cs="方正仿宋_GB2312"/>
          <w:color w:val="auto"/>
          <w:sz w:val="32"/>
          <w:szCs w:val="32"/>
          <w:lang w:val="en-US" w:eastAsia="zh-CN" w:bidi="ar-SA"/>
        </w:rPr>
        <w:t>本单位无社会保险基金预算。</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outlineLvl w:val="0"/>
        <w:rPr>
          <w:rFonts w:eastAsia="黑体"/>
          <w:sz w:val="32"/>
          <w:szCs w:val="32"/>
        </w:rPr>
      </w:pPr>
      <w:bookmarkStart w:id="17" w:name="_Toc25478"/>
      <w:r>
        <w:rPr>
          <w:rFonts w:eastAsia="黑体"/>
          <w:sz w:val="32"/>
          <w:szCs w:val="32"/>
        </w:rPr>
        <w:t>六、部门整体支出绩效情况</w:t>
      </w:r>
      <w:bookmarkEnd w:id="17"/>
    </w:p>
    <w:p>
      <w:pPr>
        <w:ind w:firstLine="640" w:firstLineChars="200"/>
        <w:rPr>
          <w:rFonts w:hint="eastAsia" w:ascii="仿宋" w:eastAsia="仿宋" w:cs="仿宋"/>
          <w:sz w:val="32"/>
          <w:szCs w:val="32"/>
          <w:lang w:bidi="ar-SA"/>
        </w:rPr>
      </w:pPr>
      <w:r>
        <w:rPr>
          <w:rFonts w:hint="eastAsia" w:ascii="仿宋" w:eastAsia="仿宋" w:cs="仿宋"/>
          <w:sz w:val="32"/>
          <w:szCs w:val="32"/>
          <w:lang w:bidi="ar-SA"/>
        </w:rPr>
        <w:t>2020年，州妇联深入贯彻党的十九届四中、五中全会精神和习近平总书记考察湖南重要讲话精神，紧紧围绕全州脱贫攻坚巩固年、产业项目推进年、基层治理提升年建设的总要求，以“互助五兴</w:t>
      </w:r>
      <w:r>
        <w:rPr>
          <w:rFonts w:hint="eastAsia" w:ascii="新宋体" w:eastAsia="新宋体" w:cs="新宋体"/>
          <w:sz w:val="32"/>
          <w:szCs w:val="32"/>
          <w:lang w:bidi="ar-SA"/>
        </w:rPr>
        <w:t>·</w:t>
      </w:r>
      <w:r>
        <w:rPr>
          <w:rFonts w:hint="eastAsia" w:ascii="仿宋" w:eastAsia="仿宋" w:cs="仿宋"/>
          <w:sz w:val="32"/>
          <w:szCs w:val="32"/>
          <w:lang w:bidi="ar-SA"/>
        </w:rPr>
        <w:t>妇女同行”大行动为抓手，以基层组织改革为动力，瞄准加快农村妇女儿童全面发展的目标，团结带领全州妇女齐心协力抗疫情、凝心聚力谋发展、一心一意促改革，各项工作均取得实质性进展，有力推动全州妇女儿童工作高质量发展。</w:t>
      </w:r>
    </w:p>
    <w:p>
      <w:pPr>
        <w:pStyle w:val="12"/>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rPr>
          <w:rFonts w:hint="eastAsia" w:ascii="仿宋" w:eastAsia="仿宋" w:cs="仿宋"/>
          <w:kern w:val="2"/>
          <w:sz w:val="32"/>
          <w:szCs w:val="32"/>
          <w:lang w:val="en-US" w:eastAsia="zh-CN" w:bidi="ar-SA"/>
        </w:rPr>
      </w:pPr>
      <w:r>
        <w:rPr>
          <w:rFonts w:hint="eastAsia" w:ascii="楷体" w:eastAsia="楷体" w:cs="楷体"/>
          <w:b/>
          <w:bCs/>
          <w:color w:val="auto"/>
          <w:sz w:val="32"/>
          <w:szCs w:val="32"/>
          <w:lang w:val="en-US" w:eastAsia="zh-CN" w:bidi="ar-SA"/>
        </w:rPr>
        <w:t>（一）疫情防控和复工复产方面。</w:t>
      </w:r>
      <w:r>
        <w:rPr>
          <w:rFonts w:hint="eastAsia" w:ascii="仿宋" w:eastAsia="仿宋" w:cs="仿宋"/>
          <w:kern w:val="2"/>
          <w:sz w:val="32"/>
          <w:szCs w:val="32"/>
          <w:lang w:val="en-US" w:eastAsia="zh-CN" w:bidi="ar-SA"/>
        </w:rPr>
        <w:t>动员组织全州广大妇女投身这场群防群控的人民战争和经济复苏战。一是组织妇女战疫情。先后发出《致全州各族人民的一封信》《千万家庭行动起来，为打赢疫情防控阻击战贡献半边天力量》的倡议书，号召广大妇女和家庭共同抗疫，组织广大妇联干部、执委和巾帼志愿者加入村（社区）防控一线参与联防联治、群防群治工作。二是“六进家门”暖人心。开展“六进家门”活动，组织志愿者为援鄂医务人员及家庭上门服务，送爱心慰问物资，送安康保险，跟进解决子女入园入学难的问题,切实为医护人员做好后勤保障工作，充分体现党和政府对的关心关爱。三是典型宣传鼓士气。在《中国妇女报》《今日女报》等媒体宣传报道我州妇女群众在抗疫工作中涌现出的先进典型和感人事迹，在“湘西妹子”推出“战疫情·湘西妹子在行动”“巾帼心向党、奋进新时代”“致敬最美巾帼奋斗者”专栏，通过典型的力量，鼓励大家战胜疫情和复工复产。四是纾困解难助复工。帮助妇字号企业协调减免税收、租金、水电费，降低银行贷款利率，推动州政府出台26条扶持政策措施，有效地帮助“妇”字号企业走出困境，发展生产。</w:t>
      </w:r>
    </w:p>
    <w:p>
      <w:pPr>
        <w:pStyle w:val="6"/>
        <w:ind w:firstLine="640" w:firstLineChars="200"/>
        <w:rPr>
          <w:rFonts w:hint="eastAsia" w:ascii="方正仿宋_GB2312" w:eastAsia="方正仿宋_GB2312" w:cs="方正仿宋_GB2312"/>
          <w:color w:val="auto"/>
          <w:sz w:val="32"/>
          <w:szCs w:val="32"/>
          <w:lang w:val="en-US" w:eastAsia="zh-CN" w:bidi="ar-SA"/>
        </w:rPr>
      </w:pPr>
      <w:r>
        <w:rPr>
          <w:rFonts w:hint="eastAsia" w:ascii="楷体" w:eastAsia="楷体" w:cs="楷体"/>
          <w:b/>
          <w:bCs/>
          <w:color w:val="auto"/>
          <w:sz w:val="32"/>
          <w:szCs w:val="32"/>
          <w:lang w:val="en-US" w:eastAsia="zh-CN" w:bidi="ar-SA"/>
        </w:rPr>
        <w:t>（二）理论武装和思想引领方面。</w:t>
      </w:r>
      <w:r>
        <w:rPr>
          <w:rFonts w:hint="eastAsia" w:ascii="仿宋" w:eastAsia="仿宋" w:cs="仿宋"/>
          <w:kern w:val="2"/>
          <w:sz w:val="32"/>
          <w:szCs w:val="32"/>
          <w:lang w:val="en-US" w:eastAsia="zh-CN" w:bidi="ar-SA"/>
        </w:rPr>
        <w:t>始终坚持用党的最新理论成果武装全州妇女的头脑，筑牢党执政的妇女群众基础。一是党组带头学。会党组始终把学习宣传贯彻习近平新时代中国特色社会主义思想和党的十九大精神作为首要长期的政治任务，及时跟进学习，党组成员带头上党课，干部人人谈心得体会，引导干部职工进一步增强“四个意识”，坚定“四个自信”，做到“两个维护”。二是组织专场学。开展“巾帼心向党”等主题宣传教育活动，建立妇联组织四级联动宣传机制，依托“妇女之家”和妇联系统“新媒体矩阵”，将习近平总书记系列重要讲话精神宣传、贯彻、落实到妇女群众中。三是搭建平台学。组织广大妇女干部参加学习强国、妇联通、干部在线教育等网络学习，在“湘西妹子”微信公众号上开通学习专栏，定期推送新思想及法律法规知识，妇女干部思想素质得到进一步提升。</w:t>
      </w:r>
    </w:p>
    <w:p>
      <w:pPr>
        <w:pStyle w:val="6"/>
        <w:ind w:firstLine="640" w:firstLineChars="200"/>
        <w:rPr>
          <w:rFonts w:hint="eastAsia" w:ascii="仿宋" w:eastAsia="仿宋" w:cs="仿宋"/>
          <w:lang w:bidi="ar-SA"/>
        </w:rPr>
      </w:pPr>
      <w:r>
        <w:rPr>
          <w:rFonts w:hint="eastAsia" w:ascii="楷体" w:eastAsia="楷体" w:cs="楷体"/>
          <w:b/>
          <w:bCs/>
          <w:color w:val="auto"/>
          <w:sz w:val="32"/>
          <w:szCs w:val="32"/>
          <w:lang w:val="en-US" w:eastAsia="zh-CN" w:bidi="ar-SA"/>
        </w:rPr>
        <w:t>（三）巾帼脱贫攻坚有方面。</w:t>
      </w:r>
      <w:r>
        <w:rPr>
          <w:rFonts w:hint="eastAsia" w:ascii="仿宋" w:eastAsia="仿宋" w:cs="仿宋"/>
          <w:lang w:bidi="ar-SA"/>
        </w:rPr>
        <w:t>围绕打赢脱贫攻坚收官之战，结合妇联职能职责，采取多种方式，助力脱贫攻坚。一是健康扶贫稳步推进。开展“两癌”免费检查工作，全州3万多名农村妇女参加“两癌”免费检查。争取“两癌”救助金102万元，救助患者102名。发动全州5万余名妇女购买女性系列健康保险，有效降低了因病致贫、因病返贫的风险。二是产业扶贫加速提质。大力发展文创产业带动妇女就业，投入扶持资金460万元，培育创建39个巾帼就业扶贫车间，州级巾帼脱贫科技示范基地16个，依托基地发展特色种植业、养殖业及手工编织业，带动妇女实现稳定就业。三是消费扶贫形式多样。策划湘西人游湘西活动，引导全州广大妇女及家庭旅游消费。组织发动“妇”字号农产品企业入驻“湘农荟”、芒果扶贫云超市等平台，拓展农产品销售渠道。组织企业参加“出手吧，姐姐”湖南省妇联系统“七·一”扶贫大直播活动，举办“山货出湘西·姐妹来助阵”扶贫直播带货活动，有力促进了</w:t>
      </w:r>
      <w:r>
        <w:rPr>
          <w:rFonts w:hint="eastAsia" w:ascii="仿宋" w:eastAsia="仿宋" w:cs="仿宋"/>
          <w:lang w:val="en-US" w:eastAsia="zh-CN" w:bidi="ar-SA"/>
        </w:rPr>
        <w:t>湘西</w:t>
      </w:r>
      <w:r>
        <w:rPr>
          <w:rFonts w:hint="eastAsia" w:ascii="仿宋" w:eastAsia="仿宋" w:cs="仿宋"/>
          <w:lang w:bidi="ar-SA"/>
        </w:rPr>
        <w:t>州农副产品的销售。四是脱贫脱单巩固成果。举办全州“爱在今秋”湘西贫困村青年脱贫脱单订婚仪式，贫困青年脱贫又脱单，进一步巩固了脱贫攻坚成果。五是全省双创大赛展风采。组织</w:t>
      </w:r>
      <w:r>
        <w:rPr>
          <w:rFonts w:hint="eastAsia" w:ascii="仿宋" w:eastAsia="仿宋" w:cs="仿宋"/>
          <w:lang w:val="en-US" w:eastAsia="zh-CN" w:bidi="ar-SA"/>
        </w:rPr>
        <w:t>湘西</w:t>
      </w:r>
      <w:r>
        <w:rPr>
          <w:rFonts w:hint="eastAsia" w:ascii="仿宋" w:eastAsia="仿宋" w:cs="仿宋"/>
          <w:lang w:bidi="ar-SA"/>
        </w:rPr>
        <w:t>州优秀女性选手参加湖南省第二届巾帼创新创业大赛，取得一等奖1名、二等奖2名，优胜奖5名的好成绩，实现了我州一等奖零的突破，激励更多妇女参与创新创业，带动更多妇女实现创业就业。</w:t>
      </w:r>
    </w:p>
    <w:p>
      <w:pPr>
        <w:pStyle w:val="6"/>
        <w:ind w:left="0" w:leftChars="0"/>
        <w:rPr>
          <w:rFonts w:hint="eastAsia" w:ascii="楷体" w:eastAsia="楷体" w:cs="楷体"/>
          <w:b/>
          <w:bCs/>
          <w:color w:val="auto"/>
          <w:sz w:val="32"/>
          <w:szCs w:val="32"/>
          <w:lang w:val="en-US" w:eastAsia="zh-CN" w:bidi="ar-SA"/>
        </w:rPr>
      </w:pPr>
      <w:r>
        <w:rPr>
          <w:rFonts w:hint="eastAsia" w:ascii="楷体" w:eastAsia="楷体" w:cs="楷体"/>
          <w:b/>
          <w:bCs/>
          <w:color w:val="auto"/>
          <w:sz w:val="32"/>
          <w:szCs w:val="32"/>
          <w:lang w:val="en-US" w:eastAsia="zh-CN" w:bidi="ar-SA"/>
        </w:rPr>
        <w:t>（四）妇女儿童权益保护方面。</w:t>
      </w:r>
      <w:r>
        <w:rPr>
          <w:rFonts w:hint="eastAsia" w:ascii="仿宋" w:eastAsia="仿宋" w:cs="仿宋"/>
          <w:lang w:bidi="ar-SA"/>
        </w:rPr>
        <w:t>以女童防侵性为重点，加大宣传保护力度，为妇女儿童筑牢保护屏障。一是大宣讲筑牢防火墙。开展“守护花蕾·关爱儿童”女童权益保护宣讲三年行动，将预防儿童性侵课程纳入全州中小学校教学计划，确保每个孩子每学期至少接受1堂防性侵知识课。培训专业讲师54名，推荐精品课程30堂，共制作发放学习资料10万份，公检法司法制副校长下沉到学校上法制课583场，完成宣讲</w:t>
      </w:r>
      <w:r>
        <w:rPr>
          <w:rFonts w:hint="eastAsia" w:ascii="仿宋" w:eastAsia="仿宋" w:cs="仿宋"/>
          <w:lang w:val="en-US" w:eastAsia="zh-CN" w:bidi="ar-SA"/>
        </w:rPr>
        <w:t>14616</w:t>
      </w:r>
      <w:r>
        <w:rPr>
          <w:rFonts w:hint="eastAsia" w:ascii="仿宋" w:eastAsia="仿宋" w:cs="仿宋"/>
          <w:lang w:bidi="ar-SA"/>
        </w:rPr>
        <w:t>场，覆盖</w:t>
      </w:r>
      <w:r>
        <w:rPr>
          <w:rFonts w:hint="eastAsia" w:ascii="仿宋" w:eastAsia="仿宋" w:cs="仿宋"/>
          <w:lang w:val="en-US" w:eastAsia="zh-CN" w:bidi="ar-SA"/>
        </w:rPr>
        <w:t>507853</w:t>
      </w:r>
      <w:r>
        <w:rPr>
          <w:rFonts w:hint="eastAsia" w:ascii="仿宋" w:eastAsia="仿宋" w:cs="仿宋"/>
          <w:lang w:bidi="ar-SA"/>
        </w:rPr>
        <w:t>人。通过四进四帮四筑牢的措施筑牢儿童保护防火墙，切实保护女童免遭侵害，有效维护了社会和谐稳定。二是看护队撑起保护伞。按照一个村妇联执委牵手一个留守儿童的模式，组建执委妈妈看护队，开展“牵手相伴·爱在身边”系列关爱服务活动。全州共组建执委妈妈看护队613支，7385名执委结对帮扶7885名留守儿童，为留守儿童倾注真情和爱心。三是送关爱打好组合拳。编印下发《湘西自治州隔代家庭教育文稿选编》，总结推广家庭教育典型案例，提升</w:t>
      </w:r>
      <w:r>
        <w:rPr>
          <w:rFonts w:hint="eastAsia" w:ascii="仿宋" w:eastAsia="仿宋" w:cs="仿宋"/>
          <w:lang w:val="en-US" w:eastAsia="zh-CN" w:bidi="ar-SA"/>
        </w:rPr>
        <w:t>全</w:t>
      </w:r>
      <w:r>
        <w:rPr>
          <w:rFonts w:hint="eastAsia" w:ascii="仿宋" w:eastAsia="仿宋" w:cs="仿宋"/>
          <w:lang w:bidi="ar-SA"/>
        </w:rPr>
        <w:t>州家庭教育工作水平。实施“金秋助学、大兵义演”公益项目，开展“把爱带回家，欢欢喜喜过大年”“奶粉送奶娃、把爱带回家”等多种形式的关爱活动，为困境妇女儿童送去温暖。</w:t>
      </w:r>
      <w:r>
        <w:rPr>
          <w:rFonts w:hint="eastAsia" w:ascii="仿宋" w:eastAsia="仿宋" w:cs="仿宋"/>
          <w:lang w:eastAsia="zh-CN" w:bidi="ar-SA"/>
        </w:rPr>
        <w:t>四是</w:t>
      </w:r>
      <w:r>
        <w:rPr>
          <w:rFonts w:hint="eastAsia" w:ascii="仿宋" w:eastAsia="仿宋" w:cs="仿宋"/>
          <w:lang w:bidi="ar-SA"/>
        </w:rPr>
        <w:t>扬美德建设好家庭。开展“最美军嫂”评选活动，评选出10名湘西州“最美军嫂”，12名同志获湘西州“最美军嫂”提名奖。启动全州“五好家庭”等评选活动</w:t>
      </w:r>
      <w:r>
        <w:rPr>
          <w:rFonts w:hint="eastAsia" w:ascii="仿宋" w:eastAsia="仿宋" w:cs="仿宋"/>
          <w:lang w:eastAsia="zh-CN" w:bidi="ar-SA"/>
        </w:rPr>
        <w:t>，</w:t>
      </w:r>
      <w:r>
        <w:rPr>
          <w:rFonts w:hint="eastAsia" w:ascii="仿宋" w:eastAsia="仿宋" w:cs="仿宋"/>
          <w:lang w:bidi="ar-SA"/>
        </w:rPr>
        <w:t>先后评选出各类好家庭64户。其中5户家庭荣获全国最美家庭荣誉称号，11户家庭获评全省最美家庭。开展“建设好家庭、弘扬好家教、传承好家风”主题道德讲堂活动，营造了浓厚家庭创建</w:t>
      </w:r>
      <w:r>
        <w:rPr>
          <w:rFonts w:hint="eastAsia" w:ascii="仿宋" w:eastAsia="仿宋" w:cs="仿宋"/>
          <w:lang w:val="en-US" w:eastAsia="zh-CN" w:bidi="ar-SA"/>
        </w:rPr>
        <w:t>氛围，进一步弘扬家庭美德。</w:t>
      </w:r>
    </w:p>
    <w:p>
      <w:pPr>
        <w:pStyle w:val="6"/>
        <w:ind w:left="0" w:leftChars="0"/>
        <w:rPr>
          <w:rFonts w:hint="eastAsia" w:ascii="仿宋_GB2312" w:eastAsia="仿宋_GB2312" w:cs="仿宋_GB2312"/>
          <w:sz w:val="32"/>
          <w:szCs w:val="32"/>
          <w:lang w:bidi="ar-SA"/>
        </w:rPr>
      </w:pPr>
      <w:r>
        <w:rPr>
          <w:rFonts w:hint="eastAsia" w:ascii="楷体" w:eastAsia="楷体" w:cs="楷体"/>
          <w:b/>
          <w:bCs/>
          <w:color w:val="auto"/>
          <w:sz w:val="32"/>
          <w:szCs w:val="32"/>
          <w:lang w:val="en-US" w:eastAsia="zh-CN" w:bidi="ar-SA"/>
        </w:rPr>
        <w:t>（五）基层组织改革方面。</w:t>
      </w:r>
      <w:r>
        <w:rPr>
          <w:rFonts w:hint="eastAsia" w:ascii="仿宋" w:eastAsia="仿宋" w:cs="仿宋"/>
          <w:lang w:bidi="ar-SA"/>
        </w:rPr>
        <w:t>以破除基层妇联执委活力不足、能力不强为突破口，纵深推进基层妇联组织改革，全面提升服务能力和水平。一是开展“互助五兴·妇女同行”大行动。组织动员有帮带能力的妇联执委、女党员、女代表等担任小组长，按照“1+5”模式组建互助组，结对帮扶5户家庭，开展互帮互助行动，构建妇联执委带头的思想共同体、致富共同体和发展共同体。全州共组建互组小组91848个，有女性小组长28559人，占比31.09%。“互助五兴·妇女同行”大行动的开展，进一步提升农村基层治理的能力和水平。 二是开展“执委活力提升”大行动。实施领头雁培训计划，增强执委的业务水平。以村妇联主席为群主，广建群，唤醒执委身份。采取召开座谈会、讲座，发放会徽、工作手册及宣传资料等方式，增强执委身份感、存在感、认同感。实施执委述职制度，通过述职，倒逼执委年初想和全年干，激发工作活力。三是开展“全员联创”大行动。大行动以全员联重点课题抓调研、全员联基层组织强妇建、全员联重点企业促发展、全员联重点工作创先进为主要内容。通过全员联创，切实增强了妇联干部责任意识、创优观念和落实能力。</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0"/>
        <w:rPr>
          <w:rFonts w:hint="eastAsia" w:eastAsia="黑体"/>
          <w:color w:val="auto"/>
          <w:sz w:val="32"/>
          <w:szCs w:val="32"/>
        </w:rPr>
      </w:pPr>
      <w:bookmarkStart w:id="18" w:name="_Toc25208"/>
      <w:r>
        <w:rPr>
          <w:rFonts w:hint="eastAsia" w:eastAsia="黑体"/>
          <w:color w:val="auto"/>
          <w:sz w:val="32"/>
          <w:szCs w:val="32"/>
        </w:rPr>
        <w:t>七、综合评价情况及评价结论</w:t>
      </w:r>
      <w:bookmarkEnd w:id="18"/>
    </w:p>
    <w:p>
      <w:pPr>
        <w:pStyle w:val="12"/>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2312" w:eastAsia="方正仿宋_GB2312" w:cs="方正仿宋_GB2312"/>
          <w:color w:val="FF0000"/>
          <w:sz w:val="32"/>
          <w:szCs w:val="32"/>
          <w:lang w:val="en-US" w:eastAsia="zh-CN" w:bidi="ar-SA"/>
        </w:rPr>
      </w:pPr>
      <w:r>
        <w:rPr>
          <w:rFonts w:hint="eastAsia" w:ascii="方正仿宋_GB2312" w:eastAsia="方正仿宋_GB2312" w:cs="方正仿宋_GB2312"/>
          <w:color w:val="auto"/>
          <w:sz w:val="32"/>
          <w:szCs w:val="32"/>
          <w:lang w:val="en-US" w:eastAsia="zh-CN" w:bidi="ar-SA"/>
        </w:rPr>
        <w:t>根据州级预算部门整体支出绩效自评表测算，本单位部门整体支出绩效评价得分是97.7分。评价结果等次为“优”。</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0"/>
        <w:rPr>
          <w:rFonts w:hint="eastAsia" w:eastAsia="黑体"/>
          <w:color w:val="auto"/>
          <w:sz w:val="32"/>
          <w:szCs w:val="32"/>
        </w:rPr>
      </w:pPr>
      <w:bookmarkStart w:id="19" w:name="_Toc23362"/>
      <w:r>
        <w:rPr>
          <w:rFonts w:hint="eastAsia" w:eastAsia="黑体"/>
          <w:color w:val="auto"/>
          <w:sz w:val="32"/>
          <w:szCs w:val="32"/>
        </w:rPr>
        <w:t>八、主要经验做法、存在的问题及原因分析</w:t>
      </w:r>
      <w:bookmarkEnd w:id="19"/>
    </w:p>
    <w:p>
      <w:pPr>
        <w:pStyle w:val="12"/>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2312" w:eastAsia="方正仿宋_GB2312" w:cs="方正仿宋_GB2312"/>
          <w:color w:val="auto"/>
          <w:sz w:val="32"/>
          <w:szCs w:val="32"/>
          <w:lang w:val="en-US" w:eastAsia="zh-CN" w:bidi="ar-SA"/>
        </w:rPr>
      </w:pPr>
      <w:r>
        <w:rPr>
          <w:rFonts w:hint="eastAsia" w:ascii="楷体" w:eastAsia="楷体" w:cs="楷体"/>
          <w:b/>
          <w:bCs/>
          <w:color w:val="auto"/>
          <w:sz w:val="32"/>
          <w:szCs w:val="32"/>
          <w:lang w:val="en-US" w:eastAsia="zh-CN" w:bidi="ar-SA"/>
        </w:rPr>
        <w:t>（一）绩效目标设定需进一步细化。</w:t>
      </w:r>
      <w:r>
        <w:rPr>
          <w:rFonts w:hint="eastAsia" w:ascii="方正仿宋_GB2312" w:eastAsia="方正仿宋_GB2312" w:cs="方正仿宋_GB2312"/>
          <w:color w:val="auto"/>
          <w:sz w:val="32"/>
          <w:szCs w:val="32"/>
          <w:lang w:val="en-US" w:eastAsia="zh-CN" w:bidi="ar-SA"/>
        </w:rPr>
        <w:t>本单位对项目设定的绩效目标较粗略，故无法判定绩效目标的设定是否依据充分，是否符合客观实际等情况，也无法判定依椐绩效目标设定的绩效指标的清晰度、细化度、可衡量性，及用以反映和考核项目绩效目标的明细化情况等。</w:t>
      </w:r>
    </w:p>
    <w:p>
      <w:pPr>
        <w:pStyle w:val="12"/>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2312" w:eastAsia="方正仿宋_GB2312" w:cs="方正仿宋_GB2312"/>
          <w:color w:val="auto"/>
          <w:sz w:val="32"/>
          <w:szCs w:val="32"/>
          <w:lang w:val="en-US" w:eastAsia="zh-CN" w:bidi="ar-SA"/>
        </w:rPr>
      </w:pPr>
      <w:r>
        <w:rPr>
          <w:rFonts w:hint="eastAsia" w:ascii="楷体" w:eastAsia="楷体" w:cs="楷体"/>
          <w:b/>
          <w:bCs/>
          <w:color w:val="auto"/>
          <w:sz w:val="32"/>
          <w:szCs w:val="32"/>
          <w:lang w:val="en-US" w:eastAsia="zh-CN" w:bidi="ar-SA"/>
        </w:rPr>
        <w:t>（二）年初预算编制不合理。</w:t>
      </w:r>
      <w:r>
        <w:rPr>
          <w:rFonts w:hint="eastAsia" w:ascii="方正仿宋_GB2312" w:eastAsia="方正仿宋_GB2312" w:cs="方正仿宋_GB2312"/>
          <w:color w:val="auto"/>
          <w:sz w:val="32"/>
          <w:szCs w:val="32"/>
          <w:lang w:val="en-US" w:eastAsia="zh-CN" w:bidi="ar-SA"/>
        </w:rPr>
        <w:t>年内预算追加金额较大，预算调整率为年初预算的61.45%。预算编制的合理性有待进一步提高。</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0"/>
        <w:rPr>
          <w:rFonts w:hint="eastAsia" w:eastAsia="仿宋_GB2312"/>
          <w:color w:val="auto"/>
          <w:sz w:val="32"/>
          <w:szCs w:val="32"/>
        </w:rPr>
      </w:pPr>
      <w:bookmarkStart w:id="20" w:name="_Toc18824"/>
      <w:r>
        <w:rPr>
          <w:rFonts w:hint="eastAsia" w:eastAsia="黑体"/>
          <w:color w:val="auto"/>
          <w:sz w:val="32"/>
          <w:szCs w:val="32"/>
        </w:rPr>
        <w:t>九、有关建议</w:t>
      </w:r>
      <w:bookmarkEnd w:id="20"/>
      <w:bookmarkStart w:id="21" w:name="_Toc19958"/>
    </w:p>
    <w:p>
      <w:pPr>
        <w:pStyle w:val="12"/>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2312" w:eastAsia="方正仿宋_GB2312" w:cs="方正仿宋_GB2312"/>
          <w:color w:val="auto"/>
          <w:sz w:val="32"/>
          <w:szCs w:val="32"/>
          <w:lang w:val="en-US" w:eastAsia="zh-CN" w:bidi="ar-SA"/>
        </w:rPr>
      </w:pPr>
      <w:r>
        <w:rPr>
          <w:rFonts w:hint="eastAsia" w:ascii="楷体" w:eastAsia="楷体" w:cs="楷体"/>
          <w:b/>
          <w:bCs/>
          <w:color w:val="auto"/>
          <w:sz w:val="32"/>
          <w:szCs w:val="32"/>
          <w:lang w:val="en-US" w:eastAsia="zh-CN" w:bidi="ar-SA"/>
        </w:rPr>
        <w:t>（一）细化绩效目标。</w:t>
      </w:r>
      <w:r>
        <w:rPr>
          <w:rFonts w:hint="eastAsia" w:ascii="方正仿宋_GB2312" w:eastAsia="方正仿宋_GB2312" w:cs="方正仿宋_GB2312"/>
          <w:color w:val="auto"/>
          <w:sz w:val="32"/>
          <w:szCs w:val="32"/>
          <w:lang w:val="en-US" w:eastAsia="zh-CN" w:bidi="ar-SA"/>
        </w:rPr>
        <w:t>确保绩效目标设定的绩效指标的清晰度、细化度、可衡量性，以便于科学合理的安排项目资金，推进项目资金使用的科学化、准确化。</w:t>
      </w:r>
    </w:p>
    <w:p>
      <w:pPr>
        <w:pStyle w:val="12"/>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2312" w:eastAsia="方正仿宋_GB2312" w:cs="方正仿宋_GB2312"/>
          <w:color w:val="auto"/>
          <w:sz w:val="32"/>
          <w:szCs w:val="32"/>
          <w:lang w:val="en-US" w:eastAsia="zh-CN" w:bidi="ar-SA"/>
        </w:rPr>
      </w:pPr>
      <w:r>
        <w:rPr>
          <w:rFonts w:hint="eastAsia" w:ascii="楷体" w:eastAsia="楷体" w:cs="楷体"/>
          <w:b/>
          <w:bCs/>
          <w:color w:val="auto"/>
          <w:sz w:val="32"/>
          <w:szCs w:val="32"/>
          <w:lang w:val="en-US" w:eastAsia="zh-CN" w:bidi="ar-SA"/>
        </w:rPr>
        <w:t>（二）建议细化预算指标，提高预算科学性。</w:t>
      </w:r>
      <w:r>
        <w:rPr>
          <w:rFonts w:hint="eastAsia" w:ascii="方正仿宋_GB2312" w:eastAsia="方正仿宋_GB2312" w:cs="方正仿宋_GB2312"/>
          <w:color w:val="auto"/>
          <w:sz w:val="32"/>
          <w:szCs w:val="32"/>
          <w:lang w:val="en-US" w:eastAsia="zh-CN" w:bidi="ar-SA"/>
        </w:rPr>
        <w:t>在编制和审批预算时结合上年决算及年度内单位可预见的工作任务据实编制，有效避免年初预算与实际执行出现大的偏差，提高预算控制水平。预算调整时必须按规定的程序办理，以避免年初预算编制的随意性。</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0"/>
        <w:rPr>
          <w:rFonts w:hint="eastAsia" w:eastAsia="黑体"/>
          <w:color w:val="auto"/>
          <w:sz w:val="32"/>
          <w:szCs w:val="32"/>
        </w:rPr>
      </w:pPr>
      <w:r>
        <w:rPr>
          <w:rFonts w:hint="eastAsia" w:eastAsia="黑体"/>
          <w:color w:val="auto"/>
          <w:sz w:val="32"/>
          <w:szCs w:val="32"/>
        </w:rPr>
        <w:t>十、绩效自评结果拟应用和公开情况</w:t>
      </w:r>
      <w:bookmarkEnd w:id="21"/>
    </w:p>
    <w:p>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绩效自评结果本单位将在湘西自治州人民政府网上进行公开。</w:t>
      </w:r>
    </w:p>
    <w:p>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eastAsia" w:ascii="Times New Roman" w:hAnsi="Times New Roman" w:eastAsia="仿宋_GB2312" w:cs="Times New Roman"/>
          <w:color w:val="auto"/>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附件 1.州级预算部门整体支出绩效评价基础数据表</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1360" w:firstLine="0"/>
        <w:textAlignment w:val="auto"/>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州级预算部门整体支出绩效自评表</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1360" w:firstLine="0"/>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州级预算部门项目支出绩效自评表</w:t>
      </w:r>
    </w:p>
    <w:p>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eastAsia" w:ascii="Times New Roman" w:hAnsi="Times New Roman" w:eastAsia="仿宋_GB2312" w:cs="Times New Roman"/>
          <w:color w:val="auto"/>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eastAsia"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684" w:firstLineChars="1464"/>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湘西自治州妇女联合会</w:t>
      </w:r>
    </w:p>
    <w:p>
      <w:pPr>
        <w:keepNext w:val="0"/>
        <w:keepLines w:val="0"/>
        <w:pageBreakBefore w:val="0"/>
        <w:widowControl w:val="0"/>
        <w:kinsoku/>
        <w:wordWrap/>
        <w:overflowPunct/>
        <w:topLinePunct w:val="0"/>
        <w:autoSpaceDE/>
        <w:autoSpaceDN/>
        <w:bidi w:val="0"/>
        <w:adjustRightInd/>
        <w:snapToGrid/>
        <w:spacing w:line="600" w:lineRule="exact"/>
        <w:ind w:firstLine="5004" w:firstLineChars="1564"/>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2021年6月10日</w:t>
      </w:r>
    </w:p>
    <w:p>
      <w:pPr>
        <w:jc w:val="left"/>
        <w:rPr>
          <w:rFonts w:cs="黑体" w:asciiTheme="minorEastAsia" w:hAnsiTheme="minorEastAsia"/>
          <w:color w:val="FF0000"/>
          <w:kern w:val="0"/>
          <w:sz w:val="32"/>
          <w:szCs w:val="32"/>
        </w:rPr>
      </w:pPr>
    </w:p>
    <w:p>
      <w:pPr>
        <w:ind w:firstLine="640" w:firstLineChars="200"/>
        <w:jc w:val="left"/>
        <w:rPr>
          <w:rFonts w:cs="黑体" w:asciiTheme="minorEastAsia" w:hAnsiTheme="minorEastAsia"/>
          <w:color w:val="FF0000"/>
          <w:kern w:val="0"/>
          <w:sz w:val="32"/>
          <w:szCs w:val="32"/>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宋体 (正文)">
    <w:altName w:val="宋体"/>
    <w:panose1 w:val="00000000000000000000"/>
    <w:charset w:val="00"/>
    <w:family w:val="auto"/>
    <w:pitch w:val="default"/>
    <w:sig w:usb0="00000000" w:usb1="00000000" w:usb2="00000000" w:usb3="00000000" w:csb0="00000000" w:csb1="00000000"/>
  </w:font>
  <w:font w:name="方正公文小标宋">
    <w:altName w:val="宋体"/>
    <w:panose1 w:val="02000500000000000000"/>
    <w:charset w:val="86"/>
    <w:family w:val="auto"/>
    <w:pitch w:val="default"/>
    <w:sig w:usb0="00000000" w:usb1="00000000" w:usb2="00000000" w:usb3="00000000" w:csb0="00040001" w:csb1="00000000"/>
  </w:font>
  <w:font w:name="方正仿宋_GB2312">
    <w:altName w:val="仿宋"/>
    <w:panose1 w:val="02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楷体_GB2312">
    <w:altName w:val="楷体_GB2312"/>
    <w:panose1 w:val="02000000000000000000"/>
    <w:charset w:val="86"/>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7AA170"/>
    <w:multiLevelType w:val="singleLevel"/>
    <w:tmpl w:val="B07AA170"/>
    <w:lvl w:ilvl="0" w:tentative="0">
      <w:start w:val="3"/>
      <w:numFmt w:val="chineseCounting"/>
      <w:suff w:val="nothing"/>
      <w:lvlText w:val="%1、"/>
      <w:lvlJc w:val="left"/>
      <w:pPr>
        <w:tabs>
          <w:tab w:val="left" w:pos="0"/>
        </w:tabs>
        <w:ind w:left="0" w:firstLine="0"/>
      </w:pPr>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10B8F7B"/>
    <w:multiLevelType w:val="singleLevel"/>
    <w:tmpl w:val="510B8F7B"/>
    <w:lvl w:ilvl="0" w:tentative="0">
      <w:start w:val="2"/>
      <w:numFmt w:val="decimal"/>
      <w:lvlText w:val="%1."/>
      <w:lvlJc w:val="left"/>
      <w:pPr>
        <w:tabs>
          <w:tab w:val="left" w:pos="312"/>
        </w:tabs>
        <w:ind w:left="136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B6252"/>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34712"/>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21073E2"/>
    <w:rsid w:val="032C73CA"/>
    <w:rsid w:val="043B17D9"/>
    <w:rsid w:val="04F45DD8"/>
    <w:rsid w:val="0533050E"/>
    <w:rsid w:val="062F7917"/>
    <w:rsid w:val="079556ED"/>
    <w:rsid w:val="08683BA4"/>
    <w:rsid w:val="08D4046D"/>
    <w:rsid w:val="09510925"/>
    <w:rsid w:val="0AB538F1"/>
    <w:rsid w:val="0B1C6C58"/>
    <w:rsid w:val="0CCD456F"/>
    <w:rsid w:val="0D3D0FFC"/>
    <w:rsid w:val="0D7A66B3"/>
    <w:rsid w:val="0D93400D"/>
    <w:rsid w:val="0E225947"/>
    <w:rsid w:val="0F11053B"/>
    <w:rsid w:val="0F160189"/>
    <w:rsid w:val="100D2728"/>
    <w:rsid w:val="106F708E"/>
    <w:rsid w:val="11051AED"/>
    <w:rsid w:val="118D23A7"/>
    <w:rsid w:val="124E47E5"/>
    <w:rsid w:val="15623AF6"/>
    <w:rsid w:val="163E7461"/>
    <w:rsid w:val="169C58D9"/>
    <w:rsid w:val="16FB19FC"/>
    <w:rsid w:val="19252D28"/>
    <w:rsid w:val="19BB3F37"/>
    <w:rsid w:val="1B8D59F4"/>
    <w:rsid w:val="1B9C2EFA"/>
    <w:rsid w:val="1C883B8F"/>
    <w:rsid w:val="1CDF643F"/>
    <w:rsid w:val="1D2218A4"/>
    <w:rsid w:val="1E87778D"/>
    <w:rsid w:val="1F4449A2"/>
    <w:rsid w:val="1F591894"/>
    <w:rsid w:val="1FD130C8"/>
    <w:rsid w:val="202D492C"/>
    <w:rsid w:val="20917D21"/>
    <w:rsid w:val="22B8672E"/>
    <w:rsid w:val="28272601"/>
    <w:rsid w:val="29C7799E"/>
    <w:rsid w:val="29DA1533"/>
    <w:rsid w:val="2AF90966"/>
    <w:rsid w:val="2B353B09"/>
    <w:rsid w:val="2C9D280C"/>
    <w:rsid w:val="2D340FF3"/>
    <w:rsid w:val="2DB02923"/>
    <w:rsid w:val="2E505BCD"/>
    <w:rsid w:val="2F056BCC"/>
    <w:rsid w:val="2F6A6297"/>
    <w:rsid w:val="2F7A0132"/>
    <w:rsid w:val="2F9B2461"/>
    <w:rsid w:val="345C6466"/>
    <w:rsid w:val="35DD1AD2"/>
    <w:rsid w:val="366E033E"/>
    <w:rsid w:val="37E61EC3"/>
    <w:rsid w:val="38130EAA"/>
    <w:rsid w:val="3967445D"/>
    <w:rsid w:val="39BA1CE0"/>
    <w:rsid w:val="3A307C45"/>
    <w:rsid w:val="3AAD0204"/>
    <w:rsid w:val="3BFA6287"/>
    <w:rsid w:val="3DE95CDE"/>
    <w:rsid w:val="3E3101EC"/>
    <w:rsid w:val="3E7C4895"/>
    <w:rsid w:val="3F211E40"/>
    <w:rsid w:val="3FAE1724"/>
    <w:rsid w:val="3FAF6356"/>
    <w:rsid w:val="3FC20857"/>
    <w:rsid w:val="417514AD"/>
    <w:rsid w:val="4331413A"/>
    <w:rsid w:val="43340846"/>
    <w:rsid w:val="43D01770"/>
    <w:rsid w:val="4482306E"/>
    <w:rsid w:val="4667565E"/>
    <w:rsid w:val="47570D53"/>
    <w:rsid w:val="478257EB"/>
    <w:rsid w:val="487B0C0F"/>
    <w:rsid w:val="48BE1DE3"/>
    <w:rsid w:val="49837080"/>
    <w:rsid w:val="49EB7184"/>
    <w:rsid w:val="4A9E633E"/>
    <w:rsid w:val="4B291B57"/>
    <w:rsid w:val="4C675300"/>
    <w:rsid w:val="4D8470FD"/>
    <w:rsid w:val="4E95685F"/>
    <w:rsid w:val="4EEB5A0E"/>
    <w:rsid w:val="4F1F6EA4"/>
    <w:rsid w:val="4F2F0433"/>
    <w:rsid w:val="4FCA53E5"/>
    <w:rsid w:val="4FF036B9"/>
    <w:rsid w:val="50155F99"/>
    <w:rsid w:val="50F11007"/>
    <w:rsid w:val="52694BB9"/>
    <w:rsid w:val="53277117"/>
    <w:rsid w:val="54723614"/>
    <w:rsid w:val="54826700"/>
    <w:rsid w:val="55441522"/>
    <w:rsid w:val="557C3D1C"/>
    <w:rsid w:val="560C3294"/>
    <w:rsid w:val="565D6F84"/>
    <w:rsid w:val="573811C9"/>
    <w:rsid w:val="580505E4"/>
    <w:rsid w:val="58494F71"/>
    <w:rsid w:val="58525117"/>
    <w:rsid w:val="58CE6C60"/>
    <w:rsid w:val="59F319FC"/>
    <w:rsid w:val="5A5B6C32"/>
    <w:rsid w:val="5AD81F45"/>
    <w:rsid w:val="5B607F70"/>
    <w:rsid w:val="5C4208CA"/>
    <w:rsid w:val="5D254DEC"/>
    <w:rsid w:val="5EB52D3F"/>
    <w:rsid w:val="60DC261F"/>
    <w:rsid w:val="610B63A2"/>
    <w:rsid w:val="63526F8E"/>
    <w:rsid w:val="63A729AC"/>
    <w:rsid w:val="63B1089F"/>
    <w:rsid w:val="64D929D0"/>
    <w:rsid w:val="68355389"/>
    <w:rsid w:val="68B40E4E"/>
    <w:rsid w:val="69186EA4"/>
    <w:rsid w:val="693607C3"/>
    <w:rsid w:val="6AAE1A12"/>
    <w:rsid w:val="6B5422F9"/>
    <w:rsid w:val="6C573C3B"/>
    <w:rsid w:val="6C991F3B"/>
    <w:rsid w:val="6D8E3B83"/>
    <w:rsid w:val="6E34214F"/>
    <w:rsid w:val="6E36427D"/>
    <w:rsid w:val="6E3C3071"/>
    <w:rsid w:val="6F14725D"/>
    <w:rsid w:val="6F2D47DB"/>
    <w:rsid w:val="70634FCB"/>
    <w:rsid w:val="713F10FE"/>
    <w:rsid w:val="71AA127B"/>
    <w:rsid w:val="724779C1"/>
    <w:rsid w:val="7297598D"/>
    <w:rsid w:val="74634474"/>
    <w:rsid w:val="74E037AA"/>
    <w:rsid w:val="755A4BDF"/>
    <w:rsid w:val="759A2107"/>
    <w:rsid w:val="78A47EC0"/>
    <w:rsid w:val="7A91310B"/>
    <w:rsid w:val="7CA368E7"/>
    <w:rsid w:val="7CF110C6"/>
    <w:rsid w:val="7D2C0C65"/>
    <w:rsid w:val="7DE92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200" w:leftChars="200"/>
    </w:pPr>
    <w:rPr>
      <w:rFonts w:ascii="Calibri" w:hAnsi="Calibri" w:cs="Calibri"/>
      <w:lang w:bidi="ar-SA"/>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200" w:firstLineChars="200"/>
    </w:pPr>
    <w:rPr>
      <w:rFonts w:ascii="Times New Roman" w:hAnsi="Times New Roman" w:cs="Times New Roman"/>
      <w:sz w:val="32"/>
      <w:szCs w:val="32"/>
      <w:lang w:bidi="ar-SA"/>
    </w:r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1308</Words>
  <Characters>7462</Characters>
  <Lines>62</Lines>
  <Paragraphs>17</Paragraphs>
  <TotalTime>7</TotalTime>
  <ScaleCrop>false</ScaleCrop>
  <LinksUpToDate>false</LinksUpToDate>
  <CharactersWithSpaces>8753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2021-07-28T00:12:00Z</cp:lastPrinted>
  <dcterms:modified xsi:type="dcterms:W3CDTF">2021-11-19T06:57:29Z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70EB668F4D074B5FAA2AC029F714551B</vt:lpwstr>
  </property>
</Properties>
</file>