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eastAsia="黑体"/>
          <w:sz w:val="32"/>
          <w:szCs w:val="32"/>
          <w:lang w:val="en-US" w:eastAsia="zh-CN"/>
        </w:rPr>
      </w:pPr>
      <w:r>
        <w:rPr>
          <w:rFonts w:hint="eastAsia"/>
          <w:sz w:val="32"/>
          <w:szCs w:val="32"/>
          <w:lang w:val="en-US" w:eastAsia="zh-CN"/>
        </w:rPr>
        <w:t>附件：</w:t>
      </w: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rFonts w:hint="eastAsia"/>
          <w:sz w:val="84"/>
          <w:szCs w:val="84"/>
          <w:lang w:eastAsia="zh-CN"/>
        </w:rPr>
      </w:pPr>
      <w:r>
        <w:rPr>
          <w:rFonts w:hint="eastAsia"/>
          <w:sz w:val="84"/>
          <w:szCs w:val="84"/>
          <w:lang w:eastAsia="zh-CN"/>
        </w:rPr>
        <w:t>湘西州市场监督管理局</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州市场监督管理局</w:t>
      </w:r>
      <w:bookmarkStart w:id="3" w:name="_GoBack"/>
      <w:bookmarkEnd w:id="3"/>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color w:val="000000"/>
          <w:kern w:val="0"/>
          <w:sz w:val="28"/>
          <w:szCs w:val="28"/>
          <w:lang w:val="en-US" w:eastAsia="zh-CN"/>
        </w:rPr>
      </w:pPr>
      <w:r>
        <w:rPr>
          <w:rFonts w:hint="eastAsia" w:ascii="仿宋_GB2312" w:hAnsi="仿宋_GB2312" w:cs="仿宋_GB2312"/>
          <w:color w:val="000000"/>
          <w:kern w:val="0"/>
          <w:sz w:val="28"/>
          <w:szCs w:val="28"/>
          <w:lang w:val="en-US" w:eastAsia="zh-CN"/>
        </w:rPr>
        <w:t>九、</w:t>
      </w:r>
      <w:r>
        <w:rPr>
          <w:rFonts w:hint="eastAsia" w:cs="仿宋_GB2312" w:asciiTheme="minorEastAsia" w:hAnsiTheme="minorEastAsia" w:eastAsiaTheme="minorEastAsia"/>
          <w:sz w:val="28"/>
          <w:szCs w:val="28"/>
        </w:rPr>
        <w:t>国有资本经营预算支出决算</w:t>
      </w:r>
      <w:r>
        <w:rPr>
          <w:rFonts w:hint="eastAsia" w:cs="仿宋_GB2312" w:asciiTheme="minorEastAsia" w:hAnsiTheme="minorEastAsia"/>
          <w:sz w:val="28"/>
          <w:szCs w:val="28"/>
          <w:lang w:val="en-US" w:eastAsia="zh-CN"/>
        </w:rPr>
        <w:t>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sz w:val="28"/>
          <w:szCs w:val="28"/>
        </w:rPr>
      </w:pPr>
      <w:r>
        <w:rPr>
          <w:rFonts w:hint="eastAsia" w:ascii="仿宋_GB2312" w:hAnsi="仿宋_GB2312" w:cs="仿宋_GB2312"/>
          <w:color w:val="000000"/>
          <w:kern w:val="0"/>
          <w:sz w:val="28"/>
          <w:szCs w:val="28"/>
          <w:lang w:val="en-US" w:eastAsia="zh-CN"/>
        </w:rPr>
        <w:t>十</w:t>
      </w:r>
      <w:r>
        <w:rPr>
          <w:rFonts w:ascii="仿宋_GB2312" w:hAnsi="仿宋_GB2312" w:cs="仿宋_GB2312"/>
          <w:color w:val="000000"/>
          <w:kern w:val="0"/>
          <w:sz w:val="28"/>
          <w:szCs w:val="28"/>
        </w:rPr>
        <w:t>、</w:t>
      </w:r>
      <w:r>
        <w:rPr>
          <w:rFonts w:hint="eastAsia" w:ascii="仿宋_GB2312" w:hAnsi="仿宋_GB2312" w:cs="仿宋_GB2312" w:eastAsiaTheme="minorEastAsia"/>
          <w:sz w:val="28"/>
          <w:szCs w:val="28"/>
        </w:rPr>
        <w:t>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pStyle w:val="9"/>
        <w:spacing w:line="500" w:lineRule="exact"/>
        <w:ind w:firstLine="700" w:firstLineChars="25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十一</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其他重要事项情况说明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eastAsia="zh-CN"/>
        </w:rPr>
      </w:pPr>
      <w:r>
        <w:rPr>
          <w:rFonts w:hint="eastAsia"/>
          <w:sz w:val="84"/>
          <w:szCs w:val="84"/>
          <w:lang w:eastAsia="zh-CN"/>
        </w:rPr>
        <w:t>湘西州市场监督管理局</w:t>
      </w:r>
    </w:p>
    <w:p>
      <w:pPr>
        <w:pStyle w:val="9"/>
        <w:jc w:val="center"/>
        <w:rPr>
          <w:sz w:val="84"/>
          <w:szCs w:val="84"/>
        </w:rPr>
      </w:pPr>
      <w:r>
        <w:rPr>
          <w:rFonts w:hint="eastAsia"/>
          <w:sz w:val="84"/>
          <w:szCs w:val="84"/>
          <w:lang w:eastAsia="zh-CN"/>
        </w:rPr>
        <w:t>单位</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widowControl/>
        <w:spacing w:line="600" w:lineRule="exact"/>
        <w:rPr>
          <w:rFonts w:asciiTheme="minorEastAsia" w:hAnsiTheme="minorEastAsia"/>
          <w:bCs/>
          <w:kern w:val="0"/>
          <w:sz w:val="32"/>
          <w:szCs w:val="32"/>
        </w:rPr>
      </w:pPr>
    </w:p>
    <w:p>
      <w:pPr>
        <w:pStyle w:val="10"/>
        <w:numPr>
          <w:ilvl w:val="0"/>
          <w:numId w:val="1"/>
        </w:numPr>
        <w:tabs>
          <w:tab w:val="left" w:pos="0"/>
        </w:tabs>
        <w:autoSpaceDN w:val="0"/>
        <w:ind w:left="930" w:leftChars="0" w:firstLineChars="0"/>
        <w:jc w:val="left"/>
        <w:rPr>
          <w:rFonts w:hint="eastAsia" w:ascii="黑体" w:eastAsia="黑体"/>
          <w:sz w:val="32"/>
          <w:szCs w:val="32"/>
        </w:rPr>
      </w:pPr>
      <w:r>
        <w:rPr>
          <w:rFonts w:hint="eastAsia" w:ascii="黑体" w:eastAsia="黑体"/>
          <w:sz w:val="32"/>
          <w:szCs w:val="32"/>
        </w:rPr>
        <w:t>部门职责</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（一）负责市场综合监督管理。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（二）负责市场主体统一登记注册。</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（三）负责组织和指导市场监管综合执法工作。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（四）负责反垄断统一执法。</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（五）负责监督管理市场秩序。</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（六）负责宏观质量管理。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（七）负责产品质量安全监督管理。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（八）负责特种设备安全监督管理。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（九）负责食品安全监督管理综合协调。</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（十）负责食品安全监督管理。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（十一）负责药品（含中药、民族药）、医疗器械盒化妆品安全监督管理。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（十二）负责职责范围内的药品、医疗器械和化妆品标准管理。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（十三）负责权限内药品、医疗器械的行政许可、备案和化妆品备案工作。负责土家药、苗药饮片备案。</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（十四）负责药品、医疗器械盒化妆品质量管理。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（十五）组织开展药品不良反应、医疗器械不良事件和化妆品的不良反应监测工作。依法承担药品、医疗器械和化妆品安全应急管理工作。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（十六）负责组织实施药品、医疗器械和化妆品监督检查。</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（十七）负责统一管理计量工作。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（十八）负责统一管理标准化工作。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（十九）负责检验检测监督管理工作。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（二十）负责监督管理和综合协调全州认证认可与合格评定工作。依法监督管理全州认证认可和合格评定相关活动。</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（二十一）负责市场监督管理、知识产权领域科技和信息化建设、新闻宣传、对外交流与合作。按规定承担技术性贸易措施有关工作。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（二十二）负责实施知识产权战略，推进知识产权强州建设。</w:t>
      </w:r>
    </w:p>
    <w:p>
      <w:pPr>
        <w:spacing w:line="540" w:lineRule="exact"/>
        <w:ind w:firstLine="140" w:firstLineChars="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(二十三)负责保护知识产权。</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（二十四）负责知识产权创造运用。</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（二十五）负责组织开展有关服务领域消费维权工作，查处制售假冒伪劣等违法行为，指导消费者咨询、申诉、举报受理、处理网络体系建设等工作，保护经营者、消费者合法权益。</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（二十六）完成州委、州政府交办的其他任务。</w:t>
      </w:r>
    </w:p>
    <w:p>
      <w:pPr>
        <w:widowControl/>
        <w:autoSpaceDN w:val="0"/>
        <w:spacing w:line="600" w:lineRule="exact"/>
        <w:rPr>
          <w:rFonts w:hint="eastAsia" w:ascii="黑体" w:eastAsia="黑体"/>
          <w:bCs/>
          <w:kern w:val="0"/>
          <w:sz w:val="32"/>
          <w:szCs w:val="32"/>
        </w:rPr>
      </w:pPr>
      <w:r>
        <w:rPr>
          <w:rFonts w:hint="eastAsia" w:ascii="黑体" w:eastAsia="黑体"/>
          <w:bCs/>
          <w:kern w:val="0"/>
          <w:sz w:val="32"/>
          <w:szCs w:val="32"/>
        </w:rPr>
        <w:t>二、机构设置及决算单位构成</w:t>
      </w:r>
    </w:p>
    <w:p>
      <w:pPr>
        <w:ind w:firstLine="560" w:firstLineChars="200"/>
        <w:rPr>
          <w:rFonts w:hint="eastAsia" w:ascii="宋体" w:hAnsi="宋体" w:eastAsia="仿宋_GB2312"/>
          <w:kern w:val="0"/>
          <w:sz w:val="28"/>
          <w:szCs w:val="32"/>
        </w:rPr>
      </w:pPr>
      <w:r>
        <w:rPr>
          <w:rFonts w:hint="eastAsia" w:ascii="宋体" w:hAnsi="宋体" w:eastAsia="仿宋_GB2312"/>
          <w:kern w:val="0"/>
          <w:sz w:val="28"/>
          <w:szCs w:val="32"/>
        </w:rPr>
        <w:t>（一）内设机构设置。</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本单位共有29个内设机构、2个单列机构、1个直属行政机构、9个</w:t>
      </w:r>
      <w:r>
        <w:rPr>
          <w:rFonts w:hint="eastAsia" w:ascii="仿宋_GB2312" w:hAnsi="仿宋_GB2312" w:eastAsia="仿宋_GB2312" w:cs="仿宋_GB2312"/>
          <w:sz w:val="28"/>
          <w:szCs w:val="28"/>
          <w:lang w:eastAsia="zh-CN"/>
        </w:rPr>
        <w:t>所属事业单位</w:t>
      </w:r>
      <w:r>
        <w:rPr>
          <w:rFonts w:hint="eastAsia" w:ascii="仿宋_GB2312" w:hAnsi="仿宋_GB2312" w:eastAsia="仿宋_GB2312" w:cs="仿宋_GB2312"/>
          <w:sz w:val="28"/>
          <w:szCs w:val="28"/>
        </w:rPr>
        <w:t>、1个挂靠的社团组织办事机构</w:t>
      </w:r>
      <w:r>
        <w:rPr>
          <w:rFonts w:hint="eastAsia" w:ascii="仿宋_GB2312" w:hAnsi="仿宋_GB2312" w:eastAsia="仿宋_GB2312" w:cs="仿宋_GB2312"/>
          <w:sz w:val="28"/>
          <w:szCs w:val="28"/>
          <w:lang w:eastAsia="zh-CN"/>
        </w:rPr>
        <w:t>，下设</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独立核算二级机构。其中29个内设机构包括：办公室、政策法规科、登记注册局、旅游市场监督管理局、信用监督管理科、反垄断局、价格监督检查和反不正当竞争局、网络交易监督管理科、广告监督管理科、质量发展局、产品质量安全监督管理科、食品安全协调及抽检检测科、食品生产安全监督管理科、食品经营安全监督管理科、特殊食品安全监督管理科、特种设备安全监察局、计量科、标准化科、认可与认证监督管理科、知识产权促进科、知识产权保护科、知识产权运用科、药品注册生产流通监督管理科、医疗器械监督管理科、化妆品监督管理科、消费者权益保护科、小微企业个体工商户专业市场党建工作指导科、科技和财务科、人事科；2个单列机构为机关党委和离退休人员管理服务科；1个直属行政机构为湘西州经济开发区分局；9个</w:t>
      </w:r>
      <w:r>
        <w:rPr>
          <w:rFonts w:hint="eastAsia" w:ascii="仿宋_GB2312" w:hAnsi="仿宋_GB2312" w:eastAsia="仿宋_GB2312" w:cs="仿宋_GB2312"/>
          <w:sz w:val="28"/>
          <w:szCs w:val="28"/>
          <w:lang w:eastAsia="zh-CN"/>
        </w:rPr>
        <w:t>所属事业单位</w:t>
      </w:r>
      <w:r>
        <w:rPr>
          <w:rFonts w:hint="eastAsia" w:ascii="仿宋_GB2312" w:hAnsi="仿宋_GB2312" w:eastAsia="仿宋_GB2312" w:cs="仿宋_GB2312"/>
          <w:sz w:val="28"/>
          <w:szCs w:val="28"/>
        </w:rPr>
        <w:t>为：</w:t>
      </w:r>
      <w:r>
        <w:rPr>
          <w:rFonts w:hint="eastAsia" w:ascii="宋体" w:hAnsi="宋体" w:eastAsia="仿宋_GB2312" w:cs="仿宋_GB2312"/>
          <w:kern w:val="0"/>
          <w:sz w:val="28"/>
          <w:szCs w:val="30"/>
        </w:rPr>
        <w:t>州市场监管综合行政执法局、</w:t>
      </w:r>
      <w:r>
        <w:rPr>
          <w:rFonts w:hint="eastAsia" w:ascii="宋体" w:hAnsi="宋体" w:eastAsia="仿宋_GB2312" w:cs="仿宋_GB2312"/>
          <w:kern w:val="0"/>
          <w:sz w:val="28"/>
          <w:szCs w:val="30"/>
          <w:lang w:eastAsia="zh-CN"/>
        </w:rPr>
        <w:t>州酒管局、</w:t>
      </w:r>
      <w:r>
        <w:rPr>
          <w:rFonts w:hint="eastAsia" w:ascii="宋体" w:hAnsi="宋体" w:eastAsia="仿宋_GB2312" w:cs="仿宋_GB2312"/>
          <w:kern w:val="0"/>
          <w:sz w:val="28"/>
          <w:szCs w:val="30"/>
        </w:rPr>
        <w:t>后勤服务中心、信息中心、培训中心、1</w:t>
      </w:r>
      <w:r>
        <w:rPr>
          <w:rFonts w:hint="eastAsia" w:ascii="仿宋_GB2312" w:hAnsi="仿宋_GB2312" w:eastAsia="仿宋_GB2312" w:cs="仿宋_GB2312"/>
          <w:sz w:val="28"/>
          <w:szCs w:val="28"/>
        </w:rPr>
        <w:t>2315</w:t>
      </w:r>
      <w:r>
        <w:rPr>
          <w:rFonts w:hint="eastAsia" w:ascii="仿宋_GB2312" w:hAnsi="仿宋_GB2312" w:eastAsia="仿宋_GB2312" w:cs="仿宋_GB2312"/>
          <w:sz w:val="28"/>
          <w:szCs w:val="28"/>
          <w:lang w:eastAsia="zh-CN"/>
        </w:rPr>
        <w:t>投诉</w:t>
      </w:r>
      <w:r>
        <w:rPr>
          <w:rFonts w:hint="eastAsia" w:ascii="仿宋_GB2312" w:hAnsi="仿宋_GB2312" w:eastAsia="仿宋_GB2312" w:cs="仿宋_GB2312"/>
          <w:sz w:val="28"/>
          <w:szCs w:val="28"/>
        </w:rPr>
        <w:t>举报中心、</w:t>
      </w:r>
      <w:r>
        <w:rPr>
          <w:rFonts w:hint="eastAsia" w:ascii="仿宋_GB2312" w:hAnsi="仿宋_GB2312" w:eastAsia="仿宋_GB2312" w:cs="仿宋_GB2312"/>
          <w:sz w:val="28"/>
          <w:szCs w:val="28"/>
          <w:lang w:eastAsia="zh-CN"/>
        </w:rPr>
        <w:t>食品</w:t>
      </w:r>
      <w:r>
        <w:rPr>
          <w:rFonts w:hint="eastAsia" w:ascii="仿宋_GB2312" w:hAnsi="仿宋_GB2312" w:eastAsia="仿宋_GB2312" w:cs="仿宋_GB2312"/>
          <w:sz w:val="28"/>
          <w:szCs w:val="28"/>
        </w:rPr>
        <w:t>药品</w:t>
      </w:r>
      <w:r>
        <w:rPr>
          <w:rFonts w:hint="eastAsia" w:ascii="仿宋_GB2312" w:hAnsi="仿宋_GB2312" w:eastAsia="仿宋_GB2312" w:cs="仿宋_GB2312"/>
          <w:sz w:val="28"/>
          <w:szCs w:val="28"/>
          <w:lang w:eastAsia="zh-CN"/>
        </w:rPr>
        <w:t>审评认证服务</w:t>
      </w:r>
      <w:r>
        <w:rPr>
          <w:rFonts w:hint="eastAsia" w:ascii="仿宋_GB2312" w:hAnsi="仿宋_GB2312" w:eastAsia="仿宋_GB2312" w:cs="仿宋_GB2312"/>
          <w:sz w:val="28"/>
          <w:szCs w:val="28"/>
        </w:rPr>
        <w:t>中心、</w:t>
      </w:r>
      <w:r>
        <w:rPr>
          <w:rFonts w:hint="eastAsia" w:ascii="仿宋_GB2312" w:hAnsi="仿宋_GB2312" w:eastAsia="仿宋_GB2312" w:cs="仿宋_GB2312"/>
          <w:sz w:val="28"/>
          <w:szCs w:val="28"/>
          <w:lang w:eastAsia="zh-CN"/>
        </w:rPr>
        <w:t>知识产权受理事务</w:t>
      </w:r>
      <w:r>
        <w:rPr>
          <w:rFonts w:hint="eastAsia" w:ascii="仿宋_GB2312" w:hAnsi="仿宋_GB2312" w:eastAsia="仿宋_GB2312" w:cs="仿宋_GB2312"/>
          <w:sz w:val="28"/>
          <w:szCs w:val="28"/>
        </w:rPr>
        <w:t>中心、州个体私营经济发展指导中心；1个挂靠的社团组织办事机构为州消费者委员会秘书处</w:t>
      </w:r>
      <w:r>
        <w:rPr>
          <w:rFonts w:hint="eastAsia" w:ascii="仿宋_GB2312" w:hAnsi="仿宋_GB2312" w:eastAsia="仿宋_GB2312" w:cs="仿宋_GB2312"/>
          <w:sz w:val="28"/>
          <w:szCs w:val="28"/>
          <w:lang w:eastAsia="zh-CN"/>
        </w:rPr>
        <w:t>。下设</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个独立核算的二级机构均为公益一类事业单位，分别是：州质量检验及计量检定中心（由州计量测试检定所和州产商品质量监督检验所于2020年1月合并，20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年时两个所</w:t>
      </w:r>
      <w:r>
        <w:rPr>
          <w:rFonts w:hint="eastAsia" w:ascii="仿宋_GB2312" w:hAnsi="仿宋_GB2312" w:eastAsia="仿宋_GB2312" w:cs="仿宋_GB2312"/>
          <w:sz w:val="28"/>
          <w:szCs w:val="28"/>
          <w:lang w:eastAsia="zh-CN"/>
        </w:rPr>
        <w:t>账务未合并、</w:t>
      </w:r>
      <w:r>
        <w:rPr>
          <w:rFonts w:hint="eastAsia" w:ascii="仿宋_GB2312" w:hAnsi="仿宋_GB2312" w:eastAsia="仿宋_GB2312" w:cs="仿宋_GB2312"/>
          <w:sz w:val="28"/>
          <w:szCs w:val="28"/>
        </w:rPr>
        <w:t>独立核算）、州食品药品检验所。</w:t>
      </w:r>
    </w:p>
    <w:p>
      <w:pPr>
        <w:ind w:firstLine="640" w:firstLineChars="200"/>
        <w:rPr>
          <w:rFonts w:hint="eastAsia" w:ascii="仿宋_GB2312" w:hAnsi="仿宋_GB2312" w:eastAsia="仿宋_GB2312" w:cs="仿宋_GB2312"/>
          <w:sz w:val="28"/>
          <w:szCs w:val="28"/>
        </w:rPr>
      </w:pPr>
      <w:r>
        <w:rPr>
          <w:rFonts w:hint="eastAsia" w:ascii="宋体" w:hAnsi="宋体"/>
          <w:bCs/>
          <w:kern w:val="0"/>
          <w:sz w:val="32"/>
          <w:szCs w:val="32"/>
        </w:rPr>
        <w:t>（</w:t>
      </w:r>
      <w:r>
        <w:rPr>
          <w:rFonts w:hint="eastAsia" w:ascii="宋体" w:hAnsi="宋体" w:eastAsia="仿宋_GB2312"/>
          <w:bCs/>
          <w:kern w:val="0"/>
          <w:sz w:val="28"/>
          <w:szCs w:val="32"/>
        </w:rPr>
        <w:t>二）决算单位构成。湘西州市场监督管理局20</w:t>
      </w:r>
      <w:r>
        <w:rPr>
          <w:rFonts w:hint="eastAsia" w:ascii="宋体" w:hAnsi="宋体" w:eastAsia="仿宋_GB2312"/>
          <w:bCs/>
          <w:kern w:val="0"/>
          <w:sz w:val="28"/>
          <w:szCs w:val="32"/>
          <w:lang w:val="en-US" w:eastAsia="zh-CN"/>
        </w:rPr>
        <w:t>20</w:t>
      </w:r>
      <w:r>
        <w:rPr>
          <w:rFonts w:hint="eastAsia" w:ascii="宋体" w:hAnsi="宋体" w:eastAsia="仿宋_GB2312"/>
          <w:bCs/>
          <w:kern w:val="0"/>
          <w:sz w:val="28"/>
          <w:szCs w:val="32"/>
        </w:rPr>
        <w:t>年部门决算汇总公开单位构成包括：湘西州市场监督管理局本级以及下属独立核算的</w:t>
      </w:r>
      <w:r>
        <w:rPr>
          <w:rFonts w:hint="eastAsia" w:ascii="宋体" w:hAnsi="宋体" w:eastAsia="仿宋_GB2312"/>
          <w:bCs/>
          <w:kern w:val="0"/>
          <w:sz w:val="28"/>
          <w:szCs w:val="32"/>
          <w:lang w:val="en-US" w:eastAsia="zh-CN"/>
        </w:rPr>
        <w:t>3</w:t>
      </w:r>
      <w:r>
        <w:rPr>
          <w:rFonts w:hint="eastAsia" w:ascii="宋体" w:hAnsi="宋体" w:eastAsia="仿宋_GB2312"/>
          <w:bCs/>
          <w:kern w:val="0"/>
          <w:sz w:val="28"/>
          <w:szCs w:val="32"/>
        </w:rPr>
        <w:t>个事业单位（</w:t>
      </w:r>
      <w:r>
        <w:rPr>
          <w:rFonts w:hint="eastAsia" w:ascii="仿宋_GB2312" w:hAnsi="仿宋_GB2312" w:eastAsia="仿宋_GB2312" w:cs="仿宋_GB2312"/>
          <w:sz w:val="28"/>
          <w:szCs w:val="28"/>
        </w:rPr>
        <w:t>州计量测试检定所、州产商品质量监督检验所、州食品药品检验所）。</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589" w:type="dxa"/>
        <w:tblInd w:w="93" w:type="dxa"/>
        <w:tblLayout w:type="fixed"/>
        <w:tblCellMar>
          <w:top w:w="0" w:type="dxa"/>
          <w:left w:w="108" w:type="dxa"/>
          <w:bottom w:w="0" w:type="dxa"/>
          <w:right w:w="108" w:type="dxa"/>
        </w:tblCellMar>
      </w:tblPr>
      <w:tblGrid>
        <w:gridCol w:w="37"/>
        <w:gridCol w:w="37"/>
        <w:gridCol w:w="37"/>
        <w:gridCol w:w="37"/>
        <w:gridCol w:w="37"/>
        <w:gridCol w:w="37"/>
        <w:gridCol w:w="37"/>
        <w:gridCol w:w="37"/>
        <w:gridCol w:w="37"/>
        <w:gridCol w:w="709"/>
        <w:gridCol w:w="222"/>
        <w:gridCol w:w="1249"/>
        <w:gridCol w:w="1646"/>
        <w:gridCol w:w="1047"/>
        <w:gridCol w:w="632"/>
        <w:gridCol w:w="65"/>
        <w:gridCol w:w="232"/>
        <w:gridCol w:w="1382"/>
        <w:gridCol w:w="1897"/>
        <w:gridCol w:w="2193"/>
        <w:gridCol w:w="301"/>
        <w:gridCol w:w="657"/>
        <w:gridCol w:w="1516"/>
        <w:gridCol w:w="1508"/>
      </w:tblGrid>
      <w:tr>
        <w:tblPrEx>
          <w:tblCellMar>
            <w:top w:w="0" w:type="dxa"/>
            <w:left w:w="108" w:type="dxa"/>
            <w:bottom w:w="0" w:type="dxa"/>
            <w:right w:w="108" w:type="dxa"/>
          </w:tblCellMar>
        </w:tblPrEx>
        <w:trPr>
          <w:gridAfter w:val="1"/>
          <w:wAfter w:w="1508" w:type="dxa"/>
          <w:trHeight w:val="360" w:hRule="atLeast"/>
        </w:trPr>
        <w:tc>
          <w:tcPr>
            <w:tcW w:w="14081" w:type="dxa"/>
            <w:gridSpan w:val="23"/>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gridAfter w:val="1"/>
          <w:wAfter w:w="1508" w:type="dxa"/>
          <w:trHeight w:val="199" w:hRule="atLeast"/>
        </w:trPr>
        <w:tc>
          <w:tcPr>
            <w:tcW w:w="5206" w:type="dxa"/>
            <w:gridSpan w:val="1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gridAfter w:val="1"/>
          <w:wAfter w:w="1508" w:type="dxa"/>
          <w:trHeight w:val="1020" w:hRule="atLeast"/>
        </w:trPr>
        <w:tc>
          <w:tcPr>
            <w:tcW w:w="14081" w:type="dxa"/>
            <w:gridSpan w:val="23"/>
            <w:tcBorders>
              <w:top w:val="nil"/>
              <w:left w:val="nil"/>
              <w:bottom w:val="nil"/>
              <w:right w:val="nil"/>
            </w:tcBorders>
            <w:shd w:val="clear" w:color="auto" w:fill="auto"/>
            <w:vAlign w:val="center"/>
          </w:tcPr>
          <w:tbl>
            <w:tblPr>
              <w:tblStyle w:val="5"/>
              <w:tblW w:w="1377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788"/>
              <w:gridCol w:w="1241"/>
              <w:gridCol w:w="5"/>
              <w:gridCol w:w="1799"/>
              <w:gridCol w:w="3267"/>
              <w:gridCol w:w="438"/>
              <w:gridCol w:w="1400"/>
              <w:gridCol w:w="1829"/>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55" w:hRule="atLeast"/>
              </w:trPr>
              <w:tc>
                <w:tcPr>
                  <w:tcW w:w="5034"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w:t>
                  </w:r>
                </w:p>
              </w:tc>
              <w:tc>
                <w:tcPr>
                  <w:tcW w:w="506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6838"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34" w:type="dxa"/>
                  <w:gridSpan w:val="4"/>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04"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41"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4"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0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2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7,046.87</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110.99</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7,157.85</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26.78</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2,125.12</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4"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05" w:type="dxa"/>
                  <w:gridSpan w:val="2"/>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2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379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41"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9,309.75</w:t>
                  </w:r>
                </w:p>
              </w:tc>
              <w:tc>
                <w:tcPr>
                  <w:tcW w:w="370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8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9,309.75</w:t>
                  </w:r>
                </w:p>
              </w:tc>
            </w:tr>
          </w:tbl>
          <w:p>
            <w:pPr>
              <w:widowControl/>
              <w:jc w:val="left"/>
              <w:rPr>
                <w:rFonts w:hint="eastAsia"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r>
        <w:tblPrEx>
          <w:tblCellMar>
            <w:top w:w="0" w:type="dxa"/>
            <w:left w:w="0" w:type="dxa"/>
            <w:bottom w:w="0" w:type="dxa"/>
            <w:right w:w="0" w:type="dxa"/>
          </w:tblCellMar>
        </w:tblPrEx>
        <w:trPr>
          <w:trHeight w:val="435" w:hRule="atLeast"/>
        </w:trPr>
        <w:tc>
          <w:tcPr>
            <w:tcW w:w="15589" w:type="dxa"/>
            <w:gridSpan w:val="24"/>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56" w:type="dxa"/>
            <w:gridSpan w:val="15"/>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trHeight w:val="615" w:hRule="atLeast"/>
        </w:trPr>
        <w:tc>
          <w:tcPr>
            <w:tcW w:w="15589" w:type="dxa"/>
            <w:gridSpan w:val="24"/>
            <w:tcBorders>
              <w:top w:val="nil"/>
              <w:left w:val="nil"/>
              <w:bottom w:val="nil"/>
              <w:right w:val="nil"/>
            </w:tcBorders>
            <w:shd w:val="clear" w:color="auto" w:fill="auto"/>
            <w:tcMar>
              <w:top w:w="15" w:type="dxa"/>
              <w:left w:w="15" w:type="dxa"/>
              <w:bottom w:w="0" w:type="dxa"/>
              <w:right w:w="15" w:type="dxa"/>
            </w:tcMar>
            <w:vAlign w:val="center"/>
          </w:tcPr>
          <w:tbl>
            <w:tblPr>
              <w:tblStyle w:val="5"/>
              <w:tblW w:w="1531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315"/>
              <w:gridCol w:w="4591"/>
              <w:gridCol w:w="1575"/>
              <w:gridCol w:w="1590"/>
              <w:gridCol w:w="1500"/>
              <w:gridCol w:w="1110"/>
              <w:gridCol w:w="1200"/>
              <w:gridCol w:w="1115"/>
              <w:gridCol w:w="1304"/>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55" w:hRule="atLeast"/>
              </w:trPr>
              <w:tc>
                <w:tcPr>
                  <w:tcW w:w="7481"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w:t>
                  </w:r>
                </w:p>
              </w:tc>
              <w:tc>
                <w:tcPr>
                  <w:tcW w:w="15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1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591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5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0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591"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9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12" w:hRule="atLeast"/>
              </w:trPr>
              <w:tc>
                <w:tcPr>
                  <w:tcW w:w="1320"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91"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5911"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5911"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7,157.85</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7,046.87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5,817.19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5,706.20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181.91</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128.92</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106.12</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103.12</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103.12</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2011405</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国家知识产权战略</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5,433.54</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5,322.55</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2,883.81</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2,883.31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2013802</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2013803</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2013805</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146.19</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2013812</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99.94</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99.94</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2013813</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2013814</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化妆品事务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2013816</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2013850</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1,238.04</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1,225.03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612.95</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542.95</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科学技术管理事务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2060102</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20602</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基础研究</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2060203</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自然科学基金</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800.90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800.90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719.41</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719.41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387.66</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387.66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64.93</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58.36</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1320"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459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rPr>
                <w:rFonts w:ascii="宋体" w:hAnsi="宋体" w:eastAsia="宋体" w:cs="宋体"/>
                <w:sz w:val="24"/>
                <w:szCs w:val="24"/>
              </w:rPr>
            </w:pPr>
            <w:r>
              <w:rPr>
                <w:rFonts w:hint="eastAsia"/>
              </w:rPr>
              <w:t>注：本表反映部门本年度取得的各项收入情况。</w:t>
            </w:r>
          </w:p>
        </w:tc>
      </w:tr>
      <w:tr>
        <w:tblPrEx>
          <w:tblCellMar>
            <w:top w:w="0" w:type="dxa"/>
            <w:left w:w="108" w:type="dxa"/>
            <w:bottom w:w="0" w:type="dxa"/>
            <w:right w:w="108" w:type="dxa"/>
          </w:tblCellMar>
        </w:tblPrEx>
        <w:trPr>
          <w:trHeight w:val="435" w:hRule="atLeast"/>
        </w:trPr>
        <w:tc>
          <w:tcPr>
            <w:tcW w:w="15589" w:type="dxa"/>
            <w:gridSpan w:val="24"/>
            <w:tcBorders>
              <w:top w:val="nil"/>
              <w:left w:val="nil"/>
              <w:bottom w:val="nil"/>
              <w:right w:val="nil"/>
            </w:tcBorders>
            <w:shd w:val="clear" w:color="auto" w:fill="auto"/>
            <w:noWrap/>
            <w:vAlign w:val="center"/>
          </w:tcPr>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rPr>
          <w:trHeight w:val="285" w:hRule="atLeast"/>
        </w:trPr>
        <w:tc>
          <w:tcPr>
            <w:tcW w:w="1042" w:type="dxa"/>
            <w:gridSpan w:val="10"/>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9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82" w:type="dxa"/>
            <w:gridSpan w:val="4"/>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630" w:hRule="atLeast"/>
        </w:trPr>
        <w:tc>
          <w:tcPr>
            <w:tcW w:w="15589" w:type="dxa"/>
            <w:gridSpan w:val="24"/>
            <w:tcBorders>
              <w:top w:val="nil"/>
              <w:left w:val="nil"/>
              <w:bottom w:val="nil"/>
              <w:right w:val="nil"/>
            </w:tcBorders>
            <w:shd w:val="clear" w:color="auto" w:fill="auto"/>
            <w:vAlign w:val="center"/>
          </w:tcPr>
          <w:tbl>
            <w:tblPr>
              <w:tblStyle w:val="5"/>
              <w:tblW w:w="1523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148"/>
              <w:gridCol w:w="4275"/>
              <w:gridCol w:w="1920"/>
              <w:gridCol w:w="1865"/>
              <w:gridCol w:w="1665"/>
              <w:gridCol w:w="1575"/>
              <w:gridCol w:w="1320"/>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55" w:hRule="atLeast"/>
              </w:trPr>
              <w:tc>
                <w:tcPr>
                  <w:tcW w:w="7343"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w:t>
                  </w:r>
                </w:p>
              </w:tc>
              <w:tc>
                <w:tcPr>
                  <w:tcW w:w="18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6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2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27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7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7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28"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28"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6,917.52</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5,839.72</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1,077.81</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5,598.83</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4,531.12</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1,067.70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179.86</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126.87</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126.87</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2011405</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国家知识产权战略</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5,301.03</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4,254.91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1,046.12</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3,028.08</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3,028.08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2013802</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2013803</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289.10</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2013805</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160.71</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2013812</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47.39</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47.39</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2013813</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2013814</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化妆品事务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2013816</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2013850</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1,232.06</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1,222.06</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431.43</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431.43</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科学技术管理事务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2060102</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20602</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基础研究</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2060203</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自然科学基金</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784.33</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784.33</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719.36</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719.36</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79.83</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79.83</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387.61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387.61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41.88</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4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8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73"/>
        <w:gridCol w:w="451"/>
        <w:gridCol w:w="1086"/>
        <w:gridCol w:w="490"/>
        <w:gridCol w:w="3526"/>
        <w:gridCol w:w="450"/>
        <w:gridCol w:w="1575"/>
        <w:gridCol w:w="1398"/>
        <w:gridCol w:w="1398"/>
        <w:gridCol w:w="1574"/>
      </w:tblGrid>
      <w:tr>
        <w:tblPrEx>
          <w:tblCellMar>
            <w:top w:w="0" w:type="dxa"/>
            <w:left w:w="108" w:type="dxa"/>
            <w:bottom w:w="0" w:type="dxa"/>
            <w:right w:w="108" w:type="dxa"/>
          </w:tblCellMar>
        </w:tblPrEx>
        <w:trPr>
          <w:trHeight w:val="285" w:hRule="atLeast"/>
        </w:trPr>
        <w:tc>
          <w:tcPr>
            <w:tcW w:w="3573"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5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2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5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8"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8"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8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1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tbl>
            <w:tblPr>
              <w:tblStyle w:val="5"/>
              <w:tblW w:w="152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3143"/>
              <w:gridCol w:w="570"/>
              <w:gridCol w:w="1400"/>
              <w:gridCol w:w="3550"/>
              <w:gridCol w:w="720"/>
              <w:gridCol w:w="931"/>
              <w:gridCol w:w="554"/>
              <w:gridCol w:w="1475"/>
              <w:gridCol w:w="1465"/>
              <w:gridCol w:w="1399"/>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55" w:hRule="atLeast"/>
              </w:trPr>
              <w:tc>
                <w:tcPr>
                  <w:tcW w:w="5113"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w:t>
                  </w:r>
                </w:p>
              </w:tc>
              <w:tc>
                <w:tcPr>
                  <w:tcW w:w="35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2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04"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511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0094" w:type="dxa"/>
                  <w:gridSpan w:val="7"/>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92" w:hRule="atLeast"/>
              </w:trPr>
              <w:tc>
                <w:tcPr>
                  <w:tcW w:w="3148"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85"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15" w:hRule="atLeast"/>
              </w:trPr>
              <w:tc>
                <w:tcPr>
                  <w:tcW w:w="3148"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5"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9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85"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7,046.87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5,536.56</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5,536.56</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784.33</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784.33</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0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7,046.87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6,855.25</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6,855.25</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1,980.67</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2,172.28</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2,172.28</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1,980.67</w:t>
                  </w:r>
                </w:p>
              </w:tc>
              <w:tc>
                <w:tcPr>
                  <w:tcW w:w="355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8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8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55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48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314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9,027.54</w:t>
                  </w:r>
                </w:p>
              </w:tc>
              <w:tc>
                <w:tcPr>
                  <w:tcW w:w="3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4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9,027.54</w:t>
                  </w:r>
                </w:p>
              </w:tc>
              <w:tc>
                <w:tcPr>
                  <w:tcW w:w="14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9,027.54</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tbl>
      <w:tblPr>
        <w:tblStyle w:val="5"/>
        <w:tblW w:w="135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00"/>
        <w:gridCol w:w="4305"/>
        <w:gridCol w:w="2535"/>
        <w:gridCol w:w="2490"/>
        <w:gridCol w:w="2715"/>
        <w:gridCol w:w="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255" w:hRule="atLeast"/>
        </w:trPr>
        <w:tc>
          <w:tcPr>
            <w:tcW w:w="5805" w:type="dxa"/>
            <w:gridSpan w:val="2"/>
            <w:tcBorders>
              <w:top w:val="nil"/>
              <w:left w:val="nil"/>
              <w:bottom w:val="nil"/>
              <w:right w:val="nil"/>
            </w:tcBorders>
            <w:shd w:val="clear" w:color="auto" w:fill="auto"/>
            <w:noWrap/>
            <w:vAlign w:val="bottom"/>
          </w:tcPr>
          <w:p>
            <w:pPr>
              <w:widowControl/>
              <w:jc w:val="left"/>
              <w:rPr>
                <w:rFonts w:hint="default" w:ascii="Arial" w:hAnsi="Arial" w:cs="Arial"/>
                <w:i w:val="0"/>
                <w:iCs w:val="0"/>
                <w:color w:val="000000"/>
                <w:sz w:val="20"/>
                <w:szCs w:val="20"/>
                <w:u w:val="none"/>
              </w:rPr>
            </w:pPr>
            <w:r>
              <w:rPr>
                <w:rFonts w:ascii="Times New Roman" w:hAnsi="Times New Roman" w:eastAsia="仿宋_GB2312" w:cs="Times New Roman"/>
                <w:color w:val="000000"/>
                <w:kern w:val="0"/>
                <w:szCs w:val="21"/>
              </w:rPr>
              <w:t xml:space="preserve"> </w:t>
            </w:r>
            <w:r>
              <w:rPr>
                <w:rFonts w:hint="eastAsia" w:ascii="宋体" w:hAnsi="宋体" w:eastAsia="宋体" w:cs="宋体"/>
                <w:i w:val="0"/>
                <w:iCs w:val="0"/>
                <w:color w:val="000000"/>
                <w:kern w:val="0"/>
                <w:sz w:val="20"/>
                <w:szCs w:val="20"/>
                <w:u w:val="none"/>
                <w:lang w:val="en-US" w:eastAsia="zh-CN" w:bidi="ar"/>
              </w:rPr>
              <w:t>部门：湘西土家族苗族自治州市场监督管理局</w:t>
            </w:r>
          </w:p>
        </w:tc>
        <w:tc>
          <w:tcPr>
            <w:tcW w:w="253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9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1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5805"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7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305"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277" w:hRule="atLeast"/>
        </w:trPr>
        <w:tc>
          <w:tcPr>
            <w:tcW w:w="150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0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5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12" w:hRule="atLeast"/>
        </w:trPr>
        <w:tc>
          <w:tcPr>
            <w:tcW w:w="150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305"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5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5805"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9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5805"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6,855.25</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5,823.22</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5,536.56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4,514.62</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158.48</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126.87</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126.87</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2011405</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国家知识产权战略</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5,238.76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4,238.41</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3,028.08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3,028.08</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2013803</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276.62</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2013805</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47.39</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2013813</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2013814</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化妆品事务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2013816</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2013850</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1,205.56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1,205.56</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408.14</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科学技术管理事务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基础研究</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2060203</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自然科学基金</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784.33</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784.33</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719.36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719.36</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79.83</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79.83</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387.61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387.61</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48.44</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41.88</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171.18</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50.57</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293.44</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gridAfter w:val="1"/>
          <w:wBefore w:w="667" w:type="dxa"/>
          <w:wAfter w:w="214" w:type="dxa"/>
          <w:trHeight w:val="308" w:hRule="atLeast"/>
        </w:trPr>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43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5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24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w:t>
            </w:r>
          </w:p>
        </w:tc>
        <w:tc>
          <w:tcPr>
            <w:tcW w:w="27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45" w:hRule="atLeast"/>
          <w:jc w:val="center"/>
        </w:trPr>
        <w:tc>
          <w:tcPr>
            <w:tcW w:w="14426" w:type="dxa"/>
            <w:gridSpan w:val="7"/>
            <w:tcBorders>
              <w:top w:val="nil"/>
              <w:left w:val="nil"/>
              <w:bottom w:val="nil"/>
              <w:right w:val="nil"/>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5"/>
        <w:tblW w:w="0" w:type="auto"/>
        <w:tblInd w:w="0" w:type="dxa"/>
        <w:tblLayout w:type="fixed"/>
        <w:tblCellMar>
          <w:top w:w="0" w:type="dxa"/>
          <w:left w:w="108" w:type="dxa"/>
          <w:bottom w:w="0" w:type="dxa"/>
          <w:right w:w="108" w:type="dxa"/>
        </w:tblCellMar>
      </w:tblPr>
      <w:tblGrid>
        <w:gridCol w:w="15441"/>
      </w:tblGrid>
      <w:tr>
        <w:tblPrEx>
          <w:tblCellMar>
            <w:top w:w="0" w:type="dxa"/>
            <w:left w:w="108" w:type="dxa"/>
            <w:bottom w:w="0" w:type="dxa"/>
            <w:right w:w="108" w:type="dxa"/>
          </w:tblCellMar>
        </w:tblPrEx>
        <w:trPr>
          <w:trHeight w:val="113" w:hRule="atLeast"/>
        </w:trPr>
        <w:tc>
          <w:tcPr>
            <w:tcW w:w="15441" w:type="dxa"/>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2" w:name="RANGE!A1:I34"/>
            <w:r>
              <w:rPr>
                <w:rFonts w:hint="eastAsia" w:ascii="华文中宋" w:hAnsi="华文中宋" w:eastAsia="华文中宋" w:cs="宋体"/>
                <w:color w:val="000000"/>
                <w:kern w:val="0"/>
                <w:sz w:val="32"/>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tbl>
            <w:tblPr>
              <w:tblStyle w:val="5"/>
              <w:tblW w:w="1513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761"/>
              <w:gridCol w:w="3540"/>
              <w:gridCol w:w="1320"/>
              <w:gridCol w:w="870"/>
              <w:gridCol w:w="2550"/>
              <w:gridCol w:w="1200"/>
              <w:gridCol w:w="810"/>
              <w:gridCol w:w="2945"/>
              <w:gridCol w:w="113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255" w:hRule="atLeast"/>
              </w:trPr>
              <w:tc>
                <w:tcPr>
                  <w:tcW w:w="5621"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w:t>
                  </w:r>
                </w:p>
              </w:tc>
              <w:tc>
                <w:tcPr>
                  <w:tcW w:w="8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3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562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w:t>
                  </w:r>
                </w:p>
              </w:tc>
              <w:tc>
                <w:tcPr>
                  <w:tcW w:w="9506"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35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8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5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2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决算数</w:t>
                  </w:r>
                </w:p>
              </w:tc>
              <w:tc>
                <w:tcPr>
                  <w:tcW w:w="8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科目编码</w:t>
                  </w:r>
                </w:p>
              </w:tc>
              <w:tc>
                <w:tcPr>
                  <w:tcW w:w="29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1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35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5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2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8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29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auto"/>
                      <w:sz w:val="22"/>
                      <w:szCs w:val="22"/>
                      <w:u w:val="none"/>
                    </w:rPr>
                  </w:pPr>
                </w:p>
              </w:tc>
              <w:tc>
                <w:tcPr>
                  <w:tcW w:w="11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3,796.23</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商品和服务支出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848.19</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债务利息及费用支出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1,275.32</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70.47</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30701</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633.07</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12.46</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30702</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223.18</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资本性支出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52.93</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0.05</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31001</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300.50</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6.60</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31002</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347.88</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36.56</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31003</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2.15</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31005</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238.29</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31006</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190.12</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55.72</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31007</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19.12</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77.75</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31008</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444.54</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31009</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25.89</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53.95</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31010</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45.39</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0.10</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31011</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对个人和家庭的补助</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1,176.86</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31012</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3.44</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31013</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0.29</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10.64</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31019</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0.22</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31021</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49.14</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31022</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31099</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11.28</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39.16</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15.52</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39906</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赠与</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140.09</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39907</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1,050.36</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67.69</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39908</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18.16</w:t>
                  </w:r>
                </w:p>
              </w:tc>
              <w:tc>
                <w:tcPr>
                  <w:tcW w:w="81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39999</w:t>
                  </w:r>
                </w:p>
              </w:tc>
              <w:tc>
                <w:tcPr>
                  <w:tcW w:w="29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24.41</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203.40</w:t>
                  </w:r>
                </w:p>
              </w:tc>
              <w:tc>
                <w:tcPr>
                  <w:tcW w:w="81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94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35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6.99</w:t>
                  </w: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0.00</w:t>
                  </w:r>
                </w:p>
              </w:tc>
              <w:tc>
                <w:tcPr>
                  <w:tcW w:w="81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94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766" w:type="dxa"/>
                  <w:gridSpan w:val="2"/>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354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3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2"/>
                      <w:szCs w:val="22"/>
                      <w:u w:val="none"/>
                    </w:rPr>
                  </w:pPr>
                </w:p>
              </w:tc>
              <w:tc>
                <w:tcPr>
                  <w:tcW w:w="8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25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60.76</w:t>
                  </w:r>
                </w:p>
              </w:tc>
              <w:tc>
                <w:tcPr>
                  <w:tcW w:w="81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294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auto"/>
                      <w:sz w:val="22"/>
                      <w:szCs w:val="22"/>
                      <w:u w:val="none"/>
                    </w:rPr>
                  </w:pPr>
                </w:p>
              </w:tc>
              <w:tc>
                <w:tcPr>
                  <w:tcW w:w="113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8" w:hRule="atLeast"/>
              </w:trPr>
              <w:tc>
                <w:tcPr>
                  <w:tcW w:w="4306" w:type="dxa"/>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人员经费合计</w:t>
                  </w:r>
                </w:p>
              </w:tc>
              <w:tc>
                <w:tcPr>
                  <w:tcW w:w="13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4,973.09</w:t>
                  </w:r>
                </w:p>
              </w:tc>
              <w:tc>
                <w:tcPr>
                  <w:tcW w:w="837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公用经费合计</w:t>
                  </w:r>
                </w:p>
              </w:tc>
              <w:tc>
                <w:tcPr>
                  <w:tcW w:w="11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850.13</w:t>
                  </w:r>
                </w:p>
              </w:tc>
            </w:tr>
          </w:tbl>
          <w:p>
            <w:pPr>
              <w:widowControl/>
              <w:jc w:val="both"/>
              <w:rPr>
                <w:rFonts w:ascii="华文中宋" w:hAnsi="华文中宋" w:eastAsia="华文中宋" w:cs="宋体"/>
                <w:color w:val="000000"/>
                <w:kern w:val="0"/>
                <w:szCs w:val="32"/>
              </w:rPr>
            </w:pPr>
          </w:p>
        </w:tc>
      </w:tr>
      <w:tr>
        <w:tblPrEx>
          <w:tblCellMar>
            <w:top w:w="0" w:type="dxa"/>
            <w:left w:w="108" w:type="dxa"/>
            <w:bottom w:w="0" w:type="dxa"/>
            <w:right w:w="108" w:type="dxa"/>
          </w:tblCellMar>
        </w:tblPrEx>
        <w:trPr>
          <w:trHeight w:val="284" w:hRule="exact"/>
        </w:trPr>
        <w:tc>
          <w:tcPr>
            <w:tcW w:w="15441"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1260" w:firstLineChars="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tbl>
      <w:tblPr>
        <w:tblStyle w:val="5"/>
        <w:tblW w:w="49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1246"/>
        <w:gridCol w:w="1140"/>
        <w:gridCol w:w="1200"/>
        <w:gridCol w:w="1395"/>
        <w:gridCol w:w="1380"/>
        <w:gridCol w:w="1230"/>
        <w:gridCol w:w="1410"/>
        <w:gridCol w:w="1200"/>
        <w:gridCol w:w="1350"/>
        <w:gridCol w:w="142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01" w:type="pct"/>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w:t>
            </w:r>
          </w:p>
        </w:tc>
        <w:tc>
          <w:tcPr>
            <w:tcW w:w="4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14"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401"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98"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38"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11"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4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9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89"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5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38"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5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44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3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6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452" w:type="pct"/>
            <w:vMerge w:val="continue"/>
            <w:tcBorders>
              <w:top w:val="nil"/>
              <w:left w:val="nil"/>
              <w:bottom w:val="single" w:color="000000" w:sz="4" w:space="0"/>
              <w:right w:val="single" w:color="000000" w:sz="4" w:space="0"/>
            </w:tcBorders>
            <w:shd w:val="clear" w:color="FFFFFF" w:fill="C0C0C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8"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52"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183.70</w:t>
            </w:r>
          </w:p>
        </w:tc>
        <w:tc>
          <w:tcPr>
            <w:tcW w:w="4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c>
          <w:tcPr>
            <w:tcW w:w="4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91.70</w:t>
            </w:r>
          </w:p>
        </w:tc>
        <w:tc>
          <w:tcPr>
            <w:tcW w:w="3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47.55</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4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w:t>
            </w:r>
          </w:p>
        </w:tc>
      </w:tr>
    </w:tbl>
    <w:p>
      <w:pPr>
        <w:widowControl/>
        <w:jc w:val="left"/>
        <w:rPr>
          <w:rFonts w:hint="eastAsia" w:ascii="宋体" w:eastAsia="宋体" w:cs="宋体"/>
          <w:kern w:val="0"/>
          <w:sz w:val="24"/>
          <w:szCs w:val="24"/>
        </w:rPr>
      </w:pPr>
    </w:p>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tbl>
      <w:tblPr>
        <w:tblStyle w:val="5"/>
        <w:tblW w:w="14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408"/>
        <w:gridCol w:w="1785"/>
        <w:gridCol w:w="1860"/>
        <w:gridCol w:w="587"/>
        <w:gridCol w:w="1183"/>
        <w:gridCol w:w="602"/>
        <w:gridCol w:w="1108"/>
        <w:gridCol w:w="602"/>
        <w:gridCol w:w="1093"/>
        <w:gridCol w:w="557"/>
        <w:gridCol w:w="1213"/>
        <w:gridCol w:w="587"/>
        <w:gridCol w:w="1232"/>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623" w:type="dxa"/>
          <w:trHeight w:val="255" w:hRule="atLeast"/>
        </w:trPr>
        <w:tc>
          <w:tcPr>
            <w:tcW w:w="5640"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w:t>
            </w:r>
          </w:p>
        </w:tc>
        <w:tc>
          <w:tcPr>
            <w:tcW w:w="178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5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0" w:type="dxa"/>
            <w:gridSpan w:val="2"/>
            <w:tcBorders>
              <w:top w:val="nil"/>
              <w:left w:val="nil"/>
              <w:bottom w:val="nil"/>
              <w:right w:val="nil"/>
            </w:tcBorders>
            <w:shd w:val="clear" w:color="auto" w:fill="auto"/>
            <w:noWrap/>
            <w:vAlign w:val="bottom"/>
          </w:tcPr>
          <w:p>
            <w:pP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 xml:space="preserve">  </w:t>
            </w:r>
          </w:p>
        </w:tc>
        <w:tc>
          <w:tcPr>
            <w:tcW w:w="1845"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381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6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770"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175" w:type="dxa"/>
            <w:gridSpan w:val="6"/>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19"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2031"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78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60" w:type="dxa"/>
            <w:vMerge w:val="continue"/>
            <w:shd w:val="clear" w:color="auto" w:fill="auto"/>
            <w:vAlign w:val="center"/>
          </w:tcPr>
          <w:p>
            <w:pPr>
              <w:widowControl/>
              <w:jc w:val="left"/>
              <w:rPr>
                <w:rFonts w:ascii="Times New Roman" w:hAnsi="Times New Roman" w:eastAsia="仿宋_GB2312" w:cs="Times New Roman"/>
                <w:b/>
                <w:kern w:val="0"/>
                <w:szCs w:val="21"/>
              </w:rPr>
            </w:pPr>
          </w:p>
        </w:tc>
        <w:tc>
          <w:tcPr>
            <w:tcW w:w="1770" w:type="dxa"/>
            <w:gridSpan w:val="2"/>
            <w:vMerge w:val="continue"/>
            <w:shd w:val="clear" w:color="auto" w:fill="auto"/>
            <w:vAlign w:val="center"/>
          </w:tcPr>
          <w:p>
            <w:pPr>
              <w:widowControl/>
              <w:jc w:val="left"/>
              <w:rPr>
                <w:rFonts w:ascii="Times New Roman" w:hAnsi="Times New Roman" w:eastAsia="仿宋_GB2312" w:cs="Times New Roman"/>
                <w:b/>
                <w:kern w:val="0"/>
                <w:szCs w:val="21"/>
              </w:rPr>
            </w:pPr>
          </w:p>
        </w:tc>
        <w:tc>
          <w:tcPr>
            <w:tcW w:w="1710"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695"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770"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19" w:type="dxa"/>
            <w:gridSpan w:val="2"/>
            <w:vMerge w:val="continue"/>
            <w:shd w:val="clear" w:color="auto" w:fill="auto"/>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2031"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7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6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0"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710"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695"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770"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819"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312" w:hRule="atLeast"/>
          <w:jc w:val="center"/>
        </w:trPr>
        <w:tc>
          <w:tcPr>
            <w:tcW w:w="2031"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7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6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0"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710"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695"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770"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c>
          <w:tcPr>
            <w:tcW w:w="1819" w:type="dxa"/>
            <w:gridSpan w:val="2"/>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3816"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8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77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71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695"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77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19"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3816"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8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5"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19"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203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8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5"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19"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203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8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5"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19"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203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8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5"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19"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203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8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5"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19"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gridAfter w:val="1"/>
          <w:wAfter w:w="613" w:type="dxa"/>
          <w:trHeight w:val="454" w:hRule="atLeast"/>
          <w:jc w:val="center"/>
        </w:trPr>
        <w:tc>
          <w:tcPr>
            <w:tcW w:w="203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8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5"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19"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613" w:type="dxa"/>
          <w:trHeight w:val="454" w:hRule="atLeast"/>
          <w:jc w:val="center"/>
        </w:trPr>
        <w:tc>
          <w:tcPr>
            <w:tcW w:w="203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85"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1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95"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0"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19" w:type="dxa"/>
            <w:gridSpan w:val="2"/>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420" w:firstLineChars="2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3720" w:type="dxa"/>
        <w:tblInd w:w="563" w:type="dxa"/>
        <w:tblLayout w:type="fixed"/>
        <w:tblCellMar>
          <w:top w:w="0" w:type="dxa"/>
          <w:left w:w="108" w:type="dxa"/>
          <w:bottom w:w="0" w:type="dxa"/>
          <w:right w:w="108" w:type="dxa"/>
        </w:tblCellMar>
      </w:tblPr>
      <w:tblGrid>
        <w:gridCol w:w="590"/>
        <w:gridCol w:w="2155"/>
        <w:gridCol w:w="2775"/>
        <w:gridCol w:w="2355"/>
        <w:gridCol w:w="2760"/>
        <w:gridCol w:w="3085"/>
      </w:tblGrid>
      <w:tr>
        <w:trPr>
          <w:trHeight w:val="720" w:hRule="atLeast"/>
        </w:trPr>
        <w:tc>
          <w:tcPr>
            <w:tcW w:w="13720" w:type="dxa"/>
            <w:gridSpan w:val="6"/>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59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55"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75"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5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8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5520" w:type="dxa"/>
            <w:gridSpan w:val="3"/>
            <w:tcBorders>
              <w:top w:val="nil"/>
              <w:left w:val="nil"/>
              <w:bottom w:val="nil"/>
              <w:right w:val="nil"/>
            </w:tcBorders>
            <w:shd w:val="clear" w:color="000000" w:fill="FFFFFF"/>
            <w:noWrap/>
            <w:vAlign w:val="bottom"/>
          </w:tcPr>
          <w:p>
            <w:pP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w:t>
            </w:r>
          </w:p>
        </w:tc>
        <w:tc>
          <w:tcPr>
            <w:tcW w:w="235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08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2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8200"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4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3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7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0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4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274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7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0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rPr>
          <w:trHeight w:val="402" w:hRule="atLeast"/>
        </w:trPr>
        <w:tc>
          <w:tcPr>
            <w:tcW w:w="5520"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0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rPr>
          <w:trHeight w:val="402" w:hRule="atLeast"/>
        </w:trPr>
        <w:tc>
          <w:tcPr>
            <w:tcW w:w="5520"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3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0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2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2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2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2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2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7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2745"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77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35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085"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720" w:hRule="atLeast"/>
        </w:trPr>
        <w:tc>
          <w:tcPr>
            <w:tcW w:w="13720" w:type="dxa"/>
            <w:gridSpan w:val="6"/>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9309.75</w:t>
      </w:r>
      <w:r>
        <w:rPr>
          <w:rFonts w:hint="eastAsia" w:asciiTheme="minorEastAsia" w:hAnsiTheme="minorEastAsia" w:eastAsiaTheme="minorEastAsia"/>
          <w:sz w:val="32"/>
          <w:szCs w:val="32"/>
        </w:rPr>
        <w:t>万元。与</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rPr>
        <w:t>相比，减少</w:t>
      </w:r>
      <w:r>
        <w:rPr>
          <w:rFonts w:hint="eastAsia" w:asciiTheme="minorEastAsia" w:hAnsiTheme="minorEastAsia" w:eastAsiaTheme="minorEastAsia"/>
          <w:sz w:val="32"/>
          <w:szCs w:val="32"/>
          <w:lang w:val="en-US" w:eastAsia="zh-CN"/>
        </w:rPr>
        <w:t>291.65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3.04</w:t>
      </w:r>
      <w:r>
        <w:rPr>
          <w:rFonts w:hint="eastAsia" w:asciiTheme="minorEastAsia" w:hAnsiTheme="minorEastAsia" w:eastAsiaTheme="minorEastAsia"/>
          <w:sz w:val="32"/>
          <w:szCs w:val="32"/>
        </w:rPr>
        <w:t>%，主要是因为机构改革后并后办公经费大大压缩</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7157.85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7046.87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98.45</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万元；其他收入</w:t>
      </w:r>
      <w:r>
        <w:rPr>
          <w:rFonts w:hint="eastAsia" w:asciiTheme="minorEastAsia" w:hAnsiTheme="minorEastAsia" w:eastAsiaTheme="minorEastAsia"/>
          <w:sz w:val="32"/>
          <w:szCs w:val="32"/>
          <w:lang w:val="en-US" w:eastAsia="zh-CN"/>
        </w:rPr>
        <w:t>110.99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11.92</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6917.52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5839.72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84.42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1077.81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15.58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9027.54</w:t>
      </w:r>
      <w:r>
        <w:rPr>
          <w:rFonts w:hint="eastAsia" w:asciiTheme="minorEastAsia" w:hAnsiTheme="minorEastAsia" w:eastAsiaTheme="minorEastAsia"/>
          <w:sz w:val="32"/>
          <w:szCs w:val="32"/>
        </w:rPr>
        <w:t>万元，与</w:t>
      </w:r>
      <w:r>
        <w:rPr>
          <w:rFonts w:hint="eastAsia" w:asciiTheme="minorEastAsia" w:hAnsiTheme="minorEastAsia" w:eastAsiaTheme="minorEastAsia"/>
          <w:sz w:val="32"/>
          <w:szCs w:val="32"/>
          <w:lang w:val="en-US" w:eastAsia="zh-CN"/>
        </w:rPr>
        <w:t>2019</w:t>
      </w:r>
      <w:r>
        <w:rPr>
          <w:rFonts w:hint="eastAsia" w:asciiTheme="minorEastAsia" w:hAnsiTheme="minorEastAsia" w:eastAsiaTheme="minorEastAsia"/>
          <w:sz w:val="32"/>
          <w:szCs w:val="32"/>
        </w:rPr>
        <w:t>年相比，减少</w:t>
      </w:r>
      <w:r>
        <w:rPr>
          <w:rFonts w:hint="eastAsia" w:asciiTheme="minorEastAsia" w:hAnsiTheme="minorEastAsia" w:eastAsiaTheme="minorEastAsia"/>
          <w:sz w:val="32"/>
          <w:szCs w:val="32"/>
          <w:lang w:val="en-US" w:eastAsia="zh-CN"/>
        </w:rPr>
        <w:t>291.06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3.12</w:t>
      </w:r>
      <w:r>
        <w:rPr>
          <w:rFonts w:hint="eastAsia" w:asciiTheme="minorEastAsia" w:hAnsiTheme="minorEastAsia" w:eastAsiaTheme="minorEastAsia"/>
          <w:sz w:val="32"/>
          <w:szCs w:val="32"/>
        </w:rPr>
        <w:t>%，主要是因为机构改革后并后办公经费大大压缩</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6855.25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99.10</w:t>
      </w:r>
      <w:r>
        <w:rPr>
          <w:rFonts w:hint="eastAsia" w:asciiTheme="minorEastAsia" w:hAnsiTheme="minorEastAsia" w:eastAsiaTheme="minorEastAsia"/>
          <w:sz w:val="32"/>
          <w:szCs w:val="32"/>
        </w:rPr>
        <w:t>%，与</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rPr>
        <w:t>相比，财政拨款支出减少</w:t>
      </w:r>
      <w:r>
        <w:rPr>
          <w:rFonts w:hint="eastAsia" w:asciiTheme="minorEastAsia" w:hAnsiTheme="minorEastAsia" w:eastAsiaTheme="minorEastAsia"/>
          <w:sz w:val="32"/>
          <w:szCs w:val="32"/>
          <w:lang w:val="en-US" w:eastAsia="zh-CN"/>
        </w:rPr>
        <w:t>390.08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53.84</w:t>
      </w:r>
      <w:r>
        <w:rPr>
          <w:rFonts w:hint="eastAsia" w:asciiTheme="minorEastAsia" w:hAnsiTheme="minorEastAsia" w:eastAsiaTheme="minorEastAsia"/>
          <w:sz w:val="32"/>
          <w:szCs w:val="32"/>
        </w:rPr>
        <w:t>%，主要是因为机构改革后并后办公经费大大压缩</w:t>
      </w:r>
      <w:r>
        <w:rPr>
          <w:rFonts w:hint="eastAsia" w:asciiTheme="minorEastAsia" w:hAnsiTheme="minorEastAsia" w:eastAsiaTheme="minorEastAsia"/>
          <w:sz w:val="32"/>
          <w:szCs w:val="32"/>
          <w:lang w:eastAsia="zh-CN"/>
        </w:rPr>
        <w:t>。</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6855.25</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5536.56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80.76</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23.78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科学技术支出</w:t>
      </w:r>
      <w:r>
        <w:rPr>
          <w:rFonts w:hint="eastAsia" w:asciiTheme="minorEastAsia" w:hAnsiTheme="minorEastAsia" w:eastAsiaTheme="minorEastAsia"/>
          <w:sz w:val="32"/>
          <w:szCs w:val="32"/>
          <w:lang w:val="en-US" w:eastAsia="zh-CN"/>
        </w:rPr>
        <w:t>5.11万元，占0.07%</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784.33万元，占11.44%；卫生健康支出171.18万元，占2.50%；住房保障支出293.44万元，占4.28%；其他支出40.86万元，占0.60%。</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4883.69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6855.25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140.37</w:t>
      </w:r>
      <w:r>
        <w:rPr>
          <w:rFonts w:hint="eastAsia" w:asciiTheme="minorEastAsia" w:hAnsiTheme="minorEastAsia" w:eastAsiaTheme="minorEastAsia"/>
          <w:sz w:val="32"/>
          <w:szCs w:val="32"/>
        </w:rPr>
        <w:t>%，其中：</w:t>
      </w:r>
    </w:p>
    <w:p>
      <w:pPr>
        <w:pStyle w:val="9"/>
        <w:ind w:firstLine="800" w:firstLineChars="250"/>
        <w:rPr>
          <w:rFonts w:hint="eastAsia" w:ascii="宋体" w:eastAsia="宋体"/>
          <w:sz w:val="32"/>
          <w:szCs w:val="32"/>
        </w:rPr>
      </w:pPr>
      <w:r>
        <w:rPr>
          <w:rFonts w:hint="eastAsia" w:ascii="宋体" w:eastAsia="宋体"/>
          <w:sz w:val="32"/>
          <w:szCs w:val="32"/>
        </w:rPr>
        <w:t>1、一般公共服务（类）</w:t>
      </w:r>
      <w:r>
        <w:rPr>
          <w:rFonts w:hint="eastAsia" w:ascii="宋体" w:eastAsia="宋体"/>
          <w:sz w:val="32"/>
          <w:szCs w:val="32"/>
          <w:lang w:eastAsia="zh-CN"/>
        </w:rPr>
        <w:t>发展与改革</w:t>
      </w:r>
      <w:r>
        <w:rPr>
          <w:rFonts w:hint="eastAsia" w:ascii="宋体" w:eastAsia="宋体"/>
          <w:sz w:val="32"/>
          <w:szCs w:val="32"/>
        </w:rPr>
        <w:t>事务（款）</w:t>
      </w:r>
      <w:r>
        <w:rPr>
          <w:rFonts w:hint="eastAsia" w:ascii="宋体" w:eastAsia="宋体"/>
          <w:sz w:val="32"/>
          <w:szCs w:val="32"/>
          <w:lang w:eastAsia="zh-CN"/>
        </w:rPr>
        <w:t>行政运行</w:t>
      </w:r>
      <w:r>
        <w:rPr>
          <w:rFonts w:hint="eastAsia" w:ascii="宋体" w:eastAsia="宋体"/>
          <w:sz w:val="32"/>
          <w:szCs w:val="32"/>
        </w:rPr>
        <w:t>（项）。</w:t>
      </w:r>
    </w:p>
    <w:p>
      <w:pPr>
        <w:pStyle w:val="9"/>
        <w:ind w:firstLine="800" w:firstLineChars="250"/>
        <w:rPr>
          <w:rFonts w:hint="eastAsia" w:ascii="宋体" w:eastAsia="宋体"/>
          <w:color w:val="auto"/>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125.16</w:t>
      </w:r>
      <w:r>
        <w:rPr>
          <w:rFonts w:hint="eastAsia" w:ascii="宋体" w:eastAsia="宋体"/>
          <w:sz w:val="32"/>
          <w:szCs w:val="32"/>
        </w:rPr>
        <w:t>万元，支出决算为</w:t>
      </w:r>
      <w:r>
        <w:rPr>
          <w:rFonts w:hint="eastAsia" w:ascii="宋体" w:eastAsia="宋体"/>
          <w:sz w:val="32"/>
          <w:szCs w:val="32"/>
          <w:lang w:val="en-US" w:eastAsia="zh-CN"/>
        </w:rPr>
        <w:t>126.87</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101.37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w:t>
      </w:r>
      <w:r>
        <w:rPr>
          <w:rFonts w:hint="eastAsia" w:ascii="宋体" w:eastAsia="宋体"/>
          <w:sz w:val="32"/>
          <w:szCs w:val="32"/>
          <w:lang w:eastAsia="zh-CN"/>
        </w:rPr>
        <w:t>财政统一安排</w:t>
      </w:r>
      <w:r>
        <w:rPr>
          <w:rFonts w:hint="eastAsia" w:ascii="宋体" w:eastAsia="宋体"/>
          <w:sz w:val="32"/>
          <w:szCs w:val="32"/>
        </w:rPr>
        <w:t>在职行政人员公务交通补助等</w:t>
      </w:r>
      <w:r>
        <w:rPr>
          <w:rFonts w:hint="eastAsia" w:ascii="宋体" w:eastAsia="宋体"/>
          <w:color w:val="auto"/>
          <w:sz w:val="32"/>
          <w:szCs w:val="32"/>
        </w:rPr>
        <w:t>经费拨款</w:t>
      </w:r>
      <w:r>
        <w:rPr>
          <w:rFonts w:hint="eastAsia" w:ascii="宋体" w:eastAsia="宋体"/>
          <w:color w:val="auto"/>
          <w:sz w:val="32"/>
          <w:szCs w:val="32"/>
          <w:lang w:eastAsia="zh-CN"/>
        </w:rPr>
        <w:t>。</w:t>
      </w:r>
    </w:p>
    <w:p>
      <w:pPr>
        <w:pStyle w:val="9"/>
        <w:ind w:firstLine="800" w:firstLineChars="250"/>
        <w:rPr>
          <w:rFonts w:hint="eastAsia" w:ascii="宋体" w:eastAsia="宋体"/>
          <w:sz w:val="32"/>
          <w:szCs w:val="32"/>
        </w:rPr>
      </w:pPr>
      <w:r>
        <w:rPr>
          <w:rFonts w:hint="eastAsia" w:ascii="宋体" w:eastAsia="宋体"/>
          <w:sz w:val="32"/>
          <w:szCs w:val="32"/>
        </w:rPr>
        <w:t xml:space="preserve"> 2、一般公共服务（类）</w:t>
      </w:r>
      <w:r>
        <w:rPr>
          <w:rFonts w:hint="eastAsia" w:ascii="宋体" w:eastAsia="宋体"/>
          <w:sz w:val="32"/>
          <w:szCs w:val="32"/>
          <w:lang w:eastAsia="zh-CN"/>
        </w:rPr>
        <w:t>发展与改革</w:t>
      </w:r>
      <w:r>
        <w:rPr>
          <w:rFonts w:hint="eastAsia" w:ascii="宋体" w:eastAsia="宋体"/>
          <w:sz w:val="32"/>
          <w:szCs w:val="32"/>
        </w:rPr>
        <w:t>事务（款）</w:t>
      </w:r>
      <w:r>
        <w:rPr>
          <w:rFonts w:hint="eastAsia" w:ascii="宋体" w:eastAsia="宋体"/>
          <w:sz w:val="32"/>
          <w:szCs w:val="32"/>
          <w:lang w:eastAsia="zh-CN"/>
        </w:rPr>
        <w:t>一般行政管理事务</w:t>
      </w:r>
      <w:r>
        <w:rPr>
          <w:rFonts w:hint="eastAsia" w:ascii="宋体" w:eastAsia="宋体"/>
          <w:sz w:val="32"/>
          <w:szCs w:val="32"/>
        </w:rPr>
        <w:t>（项）。</w:t>
      </w:r>
    </w:p>
    <w:p>
      <w:pPr>
        <w:pStyle w:val="9"/>
        <w:ind w:firstLine="800" w:firstLineChars="250"/>
        <w:rPr>
          <w:rFonts w:hint="eastAsia" w:ascii="宋体" w:eastAsia="宋体"/>
          <w:color w:val="auto"/>
          <w:sz w:val="32"/>
          <w:szCs w:val="32"/>
        </w:rPr>
      </w:pPr>
      <w:r>
        <w:rPr>
          <w:rFonts w:hint="eastAsia" w:ascii="宋体" w:eastAsia="宋体"/>
          <w:sz w:val="32"/>
          <w:szCs w:val="32"/>
        </w:rPr>
        <w:t>年初预算为</w:t>
      </w:r>
      <w:r>
        <w:rPr>
          <w:rFonts w:hint="eastAsia" w:ascii="宋体" w:eastAsia="宋体"/>
          <w:sz w:val="32"/>
          <w:szCs w:val="32"/>
          <w:lang w:val="en-US" w:eastAsia="zh-CN"/>
        </w:rPr>
        <w:t>25.38</w:t>
      </w:r>
      <w:r>
        <w:rPr>
          <w:rFonts w:hint="eastAsia" w:ascii="宋体" w:eastAsia="宋体"/>
          <w:sz w:val="32"/>
          <w:szCs w:val="32"/>
        </w:rPr>
        <w:t>万元，支出决算为</w:t>
      </w:r>
      <w:r>
        <w:rPr>
          <w:rFonts w:hint="eastAsia" w:ascii="宋体" w:eastAsia="宋体"/>
          <w:sz w:val="32"/>
          <w:szCs w:val="32"/>
          <w:lang w:val="en-US" w:eastAsia="zh-CN"/>
        </w:rPr>
        <w:t>21.38</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84.24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w:t>
      </w:r>
      <w:r>
        <w:rPr>
          <w:rFonts w:hint="eastAsia" w:ascii="宋体" w:eastAsia="宋体"/>
          <w:sz w:val="32"/>
          <w:szCs w:val="32"/>
          <w:lang w:eastAsia="zh-CN"/>
        </w:rPr>
        <w:t>小</w:t>
      </w:r>
      <w:r>
        <w:rPr>
          <w:rFonts w:hint="eastAsia" w:ascii="宋体" w:eastAsia="宋体"/>
          <w:sz w:val="32"/>
          <w:szCs w:val="32"/>
        </w:rPr>
        <w:t>于年初预算数的主要原因是：</w:t>
      </w:r>
      <w:r>
        <w:rPr>
          <w:rFonts w:hint="eastAsia" w:ascii="宋体" w:eastAsia="宋体"/>
          <w:sz w:val="32"/>
          <w:szCs w:val="32"/>
          <w:lang w:eastAsia="zh-CN"/>
        </w:rPr>
        <w:t>财政</w:t>
      </w:r>
      <w:r>
        <w:rPr>
          <w:rFonts w:hint="eastAsia" w:ascii="宋体" w:eastAsia="宋体"/>
          <w:color w:val="auto"/>
          <w:sz w:val="32"/>
          <w:szCs w:val="32"/>
          <w:lang w:eastAsia="zh-CN"/>
        </w:rPr>
        <w:t>扣减部分原价监局专项经费拨款</w:t>
      </w:r>
      <w:r>
        <w:rPr>
          <w:rFonts w:hint="eastAsia" w:ascii="宋体" w:eastAsia="宋体"/>
          <w:color w:val="auto"/>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3、</w:t>
      </w:r>
      <w:r>
        <w:rPr>
          <w:rFonts w:hint="eastAsia" w:ascii="宋体" w:eastAsia="宋体"/>
          <w:sz w:val="32"/>
          <w:szCs w:val="32"/>
        </w:rPr>
        <w:t>一般公共服务（类）</w:t>
      </w:r>
      <w:r>
        <w:rPr>
          <w:rFonts w:hint="eastAsia" w:ascii="宋体" w:eastAsia="宋体"/>
          <w:sz w:val="32"/>
          <w:szCs w:val="32"/>
          <w:lang w:eastAsia="zh-CN"/>
        </w:rPr>
        <w:t>发展与改革</w:t>
      </w:r>
      <w:r>
        <w:rPr>
          <w:rFonts w:hint="eastAsia" w:ascii="宋体" w:eastAsia="宋体"/>
          <w:sz w:val="32"/>
          <w:szCs w:val="32"/>
        </w:rPr>
        <w:t>事务（款）</w:t>
      </w:r>
      <w:r>
        <w:rPr>
          <w:rFonts w:hint="eastAsia" w:ascii="宋体" w:eastAsia="宋体"/>
          <w:sz w:val="32"/>
          <w:szCs w:val="32"/>
          <w:lang w:eastAsia="zh-CN"/>
        </w:rPr>
        <w:t>物价管理</w:t>
      </w:r>
      <w:r>
        <w:rPr>
          <w:rFonts w:hint="eastAsia" w:ascii="宋体" w:eastAsia="宋体"/>
          <w:sz w:val="32"/>
          <w:szCs w:val="32"/>
        </w:rPr>
        <w:t>（项）。</w:t>
      </w:r>
    </w:p>
    <w:p>
      <w:pPr>
        <w:pStyle w:val="9"/>
        <w:ind w:firstLine="800" w:firstLineChars="250"/>
        <w:rPr>
          <w:rFonts w:hint="eastAsia" w:ascii="宋体" w:eastAsia="宋体"/>
          <w:color w:val="auto"/>
          <w:sz w:val="32"/>
          <w:szCs w:val="32"/>
        </w:rPr>
      </w:pPr>
      <w:r>
        <w:rPr>
          <w:rFonts w:hint="eastAsia" w:ascii="宋体" w:eastAsia="宋体"/>
          <w:sz w:val="32"/>
          <w:szCs w:val="32"/>
        </w:rPr>
        <w:t>年初预算为</w:t>
      </w:r>
      <w:r>
        <w:rPr>
          <w:rFonts w:hint="eastAsia" w:ascii="宋体" w:eastAsia="宋体"/>
          <w:sz w:val="32"/>
          <w:szCs w:val="32"/>
          <w:lang w:val="en-US" w:eastAsia="zh-CN"/>
        </w:rPr>
        <w:t>0</w:t>
      </w:r>
      <w:r>
        <w:rPr>
          <w:rFonts w:hint="eastAsia" w:ascii="宋体" w:eastAsia="宋体"/>
          <w:sz w:val="32"/>
          <w:szCs w:val="32"/>
        </w:rPr>
        <w:t>万元，支出决算为</w:t>
      </w:r>
      <w:r>
        <w:rPr>
          <w:rFonts w:hint="eastAsia" w:ascii="宋体" w:eastAsia="宋体"/>
          <w:sz w:val="32"/>
          <w:szCs w:val="32"/>
          <w:lang w:val="en-US" w:eastAsia="zh-CN"/>
        </w:rPr>
        <w:t>31.60</w:t>
      </w:r>
      <w:r>
        <w:rPr>
          <w:rFonts w:hint="eastAsia" w:ascii="宋体" w:eastAsia="宋体"/>
          <w:sz w:val="32"/>
          <w:szCs w:val="32"/>
        </w:rPr>
        <w:t>万元，决算数大于年初预算数的主要原因是：</w:t>
      </w:r>
      <w:r>
        <w:rPr>
          <w:rFonts w:hint="eastAsia" w:ascii="宋体" w:eastAsia="宋体"/>
          <w:color w:val="auto"/>
          <w:sz w:val="32"/>
          <w:szCs w:val="32"/>
        </w:rPr>
        <w:t>财政追加</w:t>
      </w:r>
      <w:r>
        <w:rPr>
          <w:rFonts w:hint="eastAsia" w:ascii="宋体" w:eastAsia="宋体"/>
          <w:color w:val="auto"/>
          <w:sz w:val="32"/>
          <w:szCs w:val="32"/>
          <w:lang w:eastAsia="zh-CN"/>
        </w:rPr>
        <w:t>各项政策性奖励金</w:t>
      </w:r>
      <w:r>
        <w:rPr>
          <w:rFonts w:hint="eastAsia" w:ascii="宋体" w:eastAsia="宋体"/>
          <w:color w:val="auto"/>
          <w:sz w:val="32"/>
          <w:szCs w:val="32"/>
        </w:rPr>
        <w:t>经费拨款。</w:t>
      </w:r>
    </w:p>
    <w:p>
      <w:pPr>
        <w:pStyle w:val="9"/>
        <w:ind w:firstLine="800" w:firstLineChars="250"/>
        <w:rPr>
          <w:rFonts w:hint="eastAsia" w:ascii="宋体" w:eastAsia="宋体"/>
          <w:sz w:val="32"/>
          <w:szCs w:val="32"/>
        </w:rPr>
      </w:pPr>
      <w:r>
        <w:rPr>
          <w:rFonts w:hint="eastAsia" w:ascii="宋体" w:eastAsia="宋体"/>
          <w:sz w:val="32"/>
          <w:szCs w:val="32"/>
          <w:lang w:val="en-US" w:eastAsia="zh-CN"/>
        </w:rPr>
        <w:t>4、</w:t>
      </w:r>
      <w:r>
        <w:rPr>
          <w:rFonts w:hint="eastAsia" w:ascii="宋体" w:eastAsia="宋体"/>
          <w:sz w:val="32"/>
          <w:szCs w:val="32"/>
        </w:rPr>
        <w:t>一般公共服务（类）纪检监察事务（款）行政运行（项）。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年初预算为0万元，支出决算为1</w:t>
      </w:r>
      <w:r>
        <w:rPr>
          <w:rFonts w:hint="eastAsia" w:ascii="宋体" w:eastAsia="宋体"/>
          <w:sz w:val="32"/>
          <w:szCs w:val="32"/>
          <w:lang w:val="en-US" w:eastAsia="zh-CN"/>
        </w:rPr>
        <w:t>4.62</w:t>
      </w:r>
      <w:r>
        <w:rPr>
          <w:rFonts w:hint="eastAsia" w:ascii="宋体" w:eastAsia="宋体"/>
          <w:sz w:val="32"/>
          <w:szCs w:val="32"/>
        </w:rPr>
        <w:t>万元，决算数大于年初预算数的主要原因是：财政追加州纪委、州监察委派驻组纪检监察人员经费拨款</w:t>
      </w:r>
      <w:r>
        <w:rPr>
          <w:rFonts w:hint="eastAsia" w:ascii="宋体" w:eastAsia="宋体"/>
          <w:color w:val="FF0000"/>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5</w:t>
      </w:r>
      <w:r>
        <w:rPr>
          <w:rFonts w:hint="eastAsia" w:ascii="宋体" w:eastAsia="宋体"/>
          <w:sz w:val="32"/>
          <w:szCs w:val="32"/>
        </w:rPr>
        <w:t>、一般公共服务（类）</w:t>
      </w:r>
      <w:r>
        <w:rPr>
          <w:rFonts w:hint="eastAsia" w:ascii="宋体" w:eastAsia="宋体"/>
          <w:sz w:val="32"/>
          <w:szCs w:val="32"/>
          <w:lang w:eastAsia="zh-CN"/>
        </w:rPr>
        <w:t>商贸事务</w:t>
      </w:r>
      <w:r>
        <w:rPr>
          <w:rFonts w:hint="eastAsia" w:ascii="宋体" w:eastAsia="宋体"/>
          <w:sz w:val="32"/>
          <w:szCs w:val="32"/>
        </w:rPr>
        <w:t>（款）</w:t>
      </w:r>
      <w:r>
        <w:rPr>
          <w:rFonts w:hint="eastAsia" w:ascii="宋体" w:eastAsia="宋体"/>
          <w:sz w:val="32"/>
          <w:szCs w:val="32"/>
          <w:lang w:eastAsia="zh-CN"/>
        </w:rPr>
        <w:t>事业运行</w:t>
      </w:r>
      <w:r>
        <w:rPr>
          <w:rFonts w:hint="eastAsia" w:ascii="宋体" w:eastAsia="宋体"/>
          <w:sz w:val="32"/>
          <w:szCs w:val="32"/>
        </w:rPr>
        <w:t>（项）。</w:t>
      </w:r>
    </w:p>
    <w:p>
      <w:pPr>
        <w:pStyle w:val="9"/>
        <w:ind w:firstLine="800" w:firstLineChars="250"/>
        <w:rPr>
          <w:rFonts w:hint="eastAsia" w:ascii="宋体" w:eastAsia="宋体"/>
          <w:color w:val="auto"/>
          <w:sz w:val="32"/>
          <w:szCs w:val="32"/>
          <w:lang w:eastAsia="zh-CN"/>
        </w:rPr>
      </w:pPr>
      <w:r>
        <w:rPr>
          <w:rFonts w:hint="eastAsia" w:ascii="宋体" w:eastAsia="宋体"/>
          <w:sz w:val="32"/>
          <w:szCs w:val="32"/>
        </w:rPr>
        <w:t>年初预算为</w:t>
      </w:r>
      <w:r>
        <w:rPr>
          <w:rFonts w:hint="eastAsia" w:ascii="宋体" w:eastAsia="宋体"/>
          <w:sz w:val="32"/>
          <w:szCs w:val="32"/>
          <w:lang w:val="en-US" w:eastAsia="zh-CN"/>
        </w:rPr>
        <w:t>82.04</w:t>
      </w:r>
      <w:r>
        <w:rPr>
          <w:rFonts w:hint="eastAsia" w:ascii="宋体" w:eastAsia="宋体"/>
          <w:sz w:val="32"/>
          <w:szCs w:val="32"/>
        </w:rPr>
        <w:t>万元，支出决算为</w:t>
      </w:r>
      <w:r>
        <w:rPr>
          <w:rFonts w:hint="eastAsia" w:ascii="宋体" w:eastAsia="宋体"/>
          <w:sz w:val="32"/>
          <w:szCs w:val="32"/>
          <w:lang w:val="en-US" w:eastAsia="zh-CN"/>
        </w:rPr>
        <w:t>103.11</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125.68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决算数大于年初预算数的主要原因是：财政追加政策性奖励金等</w:t>
      </w:r>
      <w:r>
        <w:rPr>
          <w:rFonts w:hint="eastAsia" w:ascii="宋体" w:eastAsia="宋体"/>
          <w:color w:val="auto"/>
          <w:sz w:val="32"/>
          <w:szCs w:val="32"/>
        </w:rPr>
        <w:t>经费拨款</w:t>
      </w:r>
      <w:r>
        <w:rPr>
          <w:rFonts w:hint="eastAsia" w:ascii="宋体" w:eastAsia="宋体"/>
          <w:color w:val="auto"/>
          <w:sz w:val="32"/>
          <w:szCs w:val="32"/>
          <w:lang w:eastAsia="zh-CN"/>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6、</w:t>
      </w:r>
      <w:r>
        <w:rPr>
          <w:rFonts w:hint="eastAsia" w:ascii="宋体" w:eastAsia="宋体"/>
          <w:sz w:val="32"/>
          <w:szCs w:val="32"/>
        </w:rPr>
        <w:t>一般公共服务（类）知识产权事务（款）国家知识产权战略（项）。</w:t>
      </w:r>
    </w:p>
    <w:p>
      <w:pPr>
        <w:pStyle w:val="9"/>
        <w:ind w:firstLine="800" w:firstLineChars="250"/>
        <w:rPr>
          <w:rFonts w:hint="eastAsia" w:ascii="宋体" w:eastAsia="宋体"/>
          <w:color w:val="FF0000"/>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0.20</w:t>
      </w:r>
      <w:r>
        <w:rPr>
          <w:rFonts w:hint="eastAsia" w:ascii="宋体" w:eastAsia="宋体"/>
          <w:sz w:val="32"/>
          <w:szCs w:val="32"/>
        </w:rPr>
        <w:t>万元，决算数大于年初预算数的主要原因是：</w:t>
      </w:r>
      <w:r>
        <w:rPr>
          <w:rFonts w:hint="eastAsia" w:ascii="宋体" w:eastAsia="宋体"/>
          <w:sz w:val="32"/>
          <w:szCs w:val="32"/>
          <w:lang w:eastAsia="zh-CN"/>
        </w:rPr>
        <w:t>支付上年未付成功的专利资助奖励款</w:t>
      </w:r>
      <w:r>
        <w:rPr>
          <w:rFonts w:hint="eastAsia" w:ascii="宋体" w:eastAsia="宋体"/>
          <w:color w:val="auto"/>
          <w:sz w:val="32"/>
          <w:szCs w:val="32"/>
        </w:rPr>
        <w:t>。</w:t>
      </w:r>
    </w:p>
    <w:p>
      <w:pPr>
        <w:pStyle w:val="9"/>
        <w:ind w:firstLine="800" w:firstLineChars="250"/>
        <w:rPr>
          <w:rFonts w:hint="eastAsia" w:ascii="宋体" w:eastAsia="宋体"/>
          <w:sz w:val="32"/>
          <w:szCs w:val="32"/>
        </w:rPr>
      </w:pPr>
      <w:r>
        <w:rPr>
          <w:rFonts w:hint="eastAsia"/>
          <w:bCs/>
          <w:sz w:val="32"/>
          <w:szCs w:val="32"/>
          <w:lang w:val="en-US" w:eastAsia="zh-CN"/>
        </w:rPr>
        <w:t>7</w:t>
      </w:r>
      <w:r>
        <w:rPr>
          <w:rFonts w:hint="eastAsia"/>
          <w:bCs/>
          <w:sz w:val="32"/>
          <w:szCs w:val="32"/>
        </w:rPr>
        <w:t>、</w:t>
      </w:r>
      <w:r>
        <w:rPr>
          <w:rFonts w:hint="eastAsia" w:ascii="宋体" w:eastAsia="宋体"/>
          <w:sz w:val="32"/>
          <w:szCs w:val="32"/>
        </w:rPr>
        <w:t>一般公共服务（类）市场监督管理事务（款）行政运行（项）。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2290.14</w:t>
      </w:r>
      <w:r>
        <w:rPr>
          <w:rFonts w:hint="eastAsia" w:ascii="宋体" w:eastAsia="宋体"/>
          <w:sz w:val="32"/>
          <w:szCs w:val="32"/>
        </w:rPr>
        <w:t>万元，支出决算为</w:t>
      </w:r>
      <w:r>
        <w:rPr>
          <w:rFonts w:hint="eastAsia" w:ascii="宋体" w:eastAsia="宋体"/>
          <w:sz w:val="32"/>
          <w:szCs w:val="32"/>
          <w:lang w:val="en-US" w:eastAsia="zh-CN"/>
        </w:rPr>
        <w:t>3028.08</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132.22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决算数大于年初预算数的主要原因是：财政追加政策性奖励金、在职行政人员公务交通补助等</w:t>
      </w:r>
      <w:r>
        <w:rPr>
          <w:rFonts w:hint="eastAsia" w:ascii="宋体" w:eastAsia="宋体"/>
          <w:color w:val="auto"/>
          <w:sz w:val="32"/>
          <w:szCs w:val="32"/>
        </w:rPr>
        <w:t>经费拨款</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bCs/>
          <w:sz w:val="32"/>
          <w:szCs w:val="32"/>
          <w:lang w:val="en-US" w:eastAsia="zh-CN"/>
        </w:rPr>
        <w:t>8</w:t>
      </w:r>
      <w:r>
        <w:rPr>
          <w:rFonts w:hint="eastAsia"/>
          <w:bCs/>
          <w:sz w:val="32"/>
          <w:szCs w:val="32"/>
        </w:rPr>
        <w:t>、</w:t>
      </w:r>
      <w:r>
        <w:rPr>
          <w:rFonts w:hint="eastAsia" w:ascii="宋体" w:eastAsia="宋体"/>
          <w:sz w:val="32"/>
          <w:szCs w:val="32"/>
        </w:rPr>
        <w:t>一般公共服务（类）市场监督管理事务（款）一般行政管理事务（项）。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18</w:t>
      </w:r>
      <w:r>
        <w:rPr>
          <w:rFonts w:hint="eastAsia" w:ascii="宋体" w:eastAsia="宋体"/>
          <w:sz w:val="32"/>
          <w:szCs w:val="32"/>
        </w:rPr>
        <w:t>万元，支出决算为6</w:t>
      </w:r>
      <w:r>
        <w:rPr>
          <w:rFonts w:hint="eastAsia" w:ascii="宋体" w:eastAsia="宋体"/>
          <w:sz w:val="32"/>
          <w:szCs w:val="32"/>
          <w:lang w:val="en-US" w:eastAsia="zh-CN"/>
        </w:rPr>
        <w:t>0.71</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337.28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w:t>
      </w:r>
      <w:r>
        <w:rPr>
          <w:rFonts w:hint="eastAsia" w:ascii="宋体" w:eastAsia="宋体"/>
          <w:sz w:val="32"/>
          <w:szCs w:val="32"/>
          <w:lang w:eastAsia="zh-CN"/>
        </w:rPr>
        <w:t>大</w:t>
      </w:r>
      <w:r>
        <w:rPr>
          <w:rFonts w:hint="eastAsia" w:ascii="宋体" w:eastAsia="宋体"/>
          <w:sz w:val="32"/>
          <w:szCs w:val="32"/>
        </w:rPr>
        <w:t>于年初预算数的主要原因是：</w:t>
      </w:r>
      <w:r>
        <w:rPr>
          <w:rFonts w:hint="eastAsia" w:ascii="宋体" w:eastAsia="宋体"/>
          <w:sz w:val="32"/>
          <w:szCs w:val="32"/>
          <w:lang w:eastAsia="zh-CN"/>
        </w:rPr>
        <w:t>上年结转结余资金购买电梯</w:t>
      </w:r>
      <w:r>
        <w:rPr>
          <w:rFonts w:hint="eastAsia" w:ascii="宋体" w:eastAsia="宋体"/>
          <w:sz w:val="32"/>
          <w:szCs w:val="32"/>
          <w:lang w:val="en-US" w:eastAsia="zh-CN"/>
        </w:rPr>
        <w:t>2台等</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9</w:t>
      </w:r>
      <w:r>
        <w:rPr>
          <w:rFonts w:hint="eastAsia" w:ascii="宋体" w:eastAsia="宋体"/>
          <w:sz w:val="32"/>
          <w:szCs w:val="32"/>
        </w:rPr>
        <w:t>、一般公共服务（类）市场监督管理事务（款）机关服务（项）。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4.77</w:t>
      </w:r>
      <w:r>
        <w:rPr>
          <w:rFonts w:hint="eastAsia" w:ascii="宋体" w:eastAsia="宋体"/>
          <w:sz w:val="32"/>
          <w:szCs w:val="32"/>
        </w:rPr>
        <w:t>万元，决算数大于年初预算数的主要原因是：财政追加事业人员工资津补</w:t>
      </w:r>
      <w:r>
        <w:rPr>
          <w:rFonts w:hint="eastAsia" w:ascii="宋体" w:eastAsia="宋体"/>
          <w:color w:val="auto"/>
          <w:sz w:val="32"/>
          <w:szCs w:val="32"/>
        </w:rPr>
        <w:t>贴经费拨款。</w:t>
      </w:r>
    </w:p>
    <w:p>
      <w:pPr>
        <w:pStyle w:val="9"/>
        <w:ind w:firstLine="800" w:firstLineChars="250"/>
        <w:rPr>
          <w:rFonts w:hint="eastAsia" w:ascii="宋体" w:eastAsia="宋体"/>
          <w:sz w:val="32"/>
          <w:szCs w:val="32"/>
        </w:rPr>
      </w:pPr>
      <w:r>
        <w:rPr>
          <w:rFonts w:hint="eastAsia" w:ascii="宋体" w:eastAsia="宋体"/>
          <w:sz w:val="32"/>
          <w:szCs w:val="32"/>
          <w:lang w:val="en-US" w:eastAsia="zh-CN"/>
        </w:rPr>
        <w:t>10</w:t>
      </w:r>
      <w:r>
        <w:rPr>
          <w:rFonts w:hint="eastAsia" w:ascii="宋体" w:eastAsia="宋体"/>
          <w:sz w:val="32"/>
          <w:szCs w:val="32"/>
        </w:rPr>
        <w:t>、一般公共服务（类）市场监督管理事务（款）市场监督管理专项（项）。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182</w:t>
      </w:r>
      <w:r>
        <w:rPr>
          <w:rFonts w:hint="eastAsia" w:ascii="宋体" w:eastAsia="宋体"/>
          <w:sz w:val="32"/>
          <w:szCs w:val="32"/>
        </w:rPr>
        <w:t>万元，支出决算为2</w:t>
      </w:r>
      <w:r>
        <w:rPr>
          <w:rFonts w:hint="eastAsia" w:ascii="宋体" w:eastAsia="宋体"/>
          <w:sz w:val="32"/>
          <w:szCs w:val="32"/>
          <w:lang w:val="en-US" w:eastAsia="zh-CN"/>
        </w:rPr>
        <w:t>76.62</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151.99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决算数大于年初预算数的主要原因是：省级专项资金追加。</w:t>
      </w:r>
    </w:p>
    <w:p>
      <w:pPr>
        <w:pStyle w:val="9"/>
        <w:ind w:firstLine="800" w:firstLineChars="250"/>
        <w:rPr>
          <w:rFonts w:hint="eastAsia" w:ascii="宋体" w:eastAsia="宋体"/>
          <w:sz w:val="32"/>
          <w:szCs w:val="32"/>
        </w:rPr>
      </w:pPr>
      <w:r>
        <w:rPr>
          <w:rFonts w:hint="eastAsia" w:ascii="宋体" w:eastAsia="宋体"/>
          <w:sz w:val="32"/>
          <w:szCs w:val="32"/>
          <w:lang w:val="en-US" w:eastAsia="zh-CN"/>
        </w:rPr>
        <w:t>11</w:t>
      </w:r>
      <w:r>
        <w:rPr>
          <w:rFonts w:hint="eastAsia" w:ascii="宋体" w:eastAsia="宋体"/>
          <w:sz w:val="32"/>
          <w:szCs w:val="32"/>
        </w:rPr>
        <w:t>、一般公共服务（类）市场监督管理事务（款）市场监管执法（项）。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146.19</w:t>
      </w:r>
      <w:r>
        <w:rPr>
          <w:rFonts w:hint="eastAsia" w:ascii="宋体" w:eastAsia="宋体"/>
          <w:sz w:val="32"/>
          <w:szCs w:val="32"/>
        </w:rPr>
        <w:t>万元，支出决算为1</w:t>
      </w:r>
      <w:r>
        <w:rPr>
          <w:rFonts w:hint="eastAsia" w:ascii="宋体" w:eastAsia="宋体"/>
          <w:sz w:val="32"/>
          <w:szCs w:val="32"/>
          <w:lang w:val="en-US" w:eastAsia="zh-CN"/>
        </w:rPr>
        <w:t>60.71</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109.93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决算数大于年初预算数的主要原因是：省级专项资金追加。</w:t>
      </w:r>
    </w:p>
    <w:p>
      <w:pPr>
        <w:pStyle w:val="9"/>
        <w:ind w:firstLine="800" w:firstLineChars="250"/>
        <w:rPr>
          <w:rFonts w:hint="eastAsia" w:ascii="宋体" w:eastAsia="宋体"/>
          <w:sz w:val="32"/>
          <w:szCs w:val="32"/>
        </w:rPr>
      </w:pPr>
      <w:r>
        <w:rPr>
          <w:rFonts w:hint="eastAsia" w:ascii="宋体" w:eastAsia="宋体"/>
          <w:sz w:val="32"/>
          <w:szCs w:val="32"/>
          <w:lang w:val="en-US" w:eastAsia="zh-CN"/>
        </w:rPr>
        <w:t>12</w:t>
      </w:r>
      <w:r>
        <w:rPr>
          <w:rFonts w:hint="eastAsia" w:ascii="宋体" w:eastAsia="宋体"/>
          <w:sz w:val="32"/>
          <w:szCs w:val="32"/>
        </w:rPr>
        <w:t>、一般公共服务（类）市场监督管理事务（款）</w:t>
      </w:r>
      <w:r>
        <w:rPr>
          <w:rFonts w:hint="eastAsia" w:ascii="宋体" w:eastAsia="宋体"/>
          <w:sz w:val="32"/>
          <w:szCs w:val="32"/>
          <w:lang w:eastAsia="zh-CN"/>
        </w:rPr>
        <w:t>质量基础</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6</w:t>
      </w:r>
      <w:r>
        <w:rPr>
          <w:rFonts w:hint="eastAsia" w:ascii="宋体" w:eastAsia="宋体"/>
          <w:sz w:val="32"/>
          <w:szCs w:val="32"/>
        </w:rPr>
        <w:t>万元，决算数大于年初预算数的主要原因是：</w:t>
      </w:r>
      <w:r>
        <w:rPr>
          <w:rFonts w:hint="eastAsia" w:ascii="宋体" w:eastAsia="宋体"/>
          <w:sz w:val="32"/>
          <w:szCs w:val="32"/>
          <w:lang w:eastAsia="zh-CN"/>
        </w:rPr>
        <w:t>财政</w:t>
      </w:r>
      <w:r>
        <w:rPr>
          <w:rFonts w:hint="eastAsia" w:ascii="宋体" w:eastAsia="宋体"/>
          <w:sz w:val="32"/>
          <w:szCs w:val="32"/>
        </w:rPr>
        <w:t>追加</w:t>
      </w:r>
      <w:r>
        <w:rPr>
          <w:rFonts w:hint="eastAsia" w:ascii="宋体" w:eastAsia="宋体"/>
          <w:sz w:val="32"/>
          <w:szCs w:val="32"/>
          <w:lang w:val="en-US" w:eastAsia="zh-CN"/>
        </w:rPr>
        <w:t>给</w:t>
      </w:r>
      <w:r>
        <w:rPr>
          <w:rFonts w:hint="eastAsia" w:ascii="宋体" w:eastAsia="宋体"/>
          <w:sz w:val="32"/>
          <w:szCs w:val="32"/>
          <w:lang w:eastAsia="zh-CN"/>
        </w:rPr>
        <w:t>原州质量技术监督信息管理所标准化</w:t>
      </w:r>
      <w:r>
        <w:rPr>
          <w:rFonts w:hint="eastAsia" w:ascii="宋体" w:eastAsia="宋体"/>
          <w:sz w:val="32"/>
          <w:szCs w:val="32"/>
        </w:rPr>
        <w:t>专项资金。</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3</w:t>
      </w:r>
      <w:r>
        <w:rPr>
          <w:rFonts w:hint="eastAsia" w:ascii="宋体" w:eastAsia="宋体"/>
          <w:sz w:val="32"/>
          <w:szCs w:val="32"/>
        </w:rPr>
        <w:t>、一般公共服务（类）市场监督管理事务（款）药品事务（项）。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47.39</w:t>
      </w:r>
      <w:r>
        <w:rPr>
          <w:rFonts w:hint="eastAsia" w:ascii="宋体" w:eastAsia="宋体"/>
          <w:sz w:val="32"/>
          <w:szCs w:val="32"/>
        </w:rPr>
        <w:t>万元，决算数大于年初预算数的主要原因是：省级专项资金追加。</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4</w:t>
      </w:r>
      <w:r>
        <w:rPr>
          <w:rFonts w:hint="eastAsia" w:ascii="宋体" w:eastAsia="宋体"/>
          <w:sz w:val="32"/>
          <w:szCs w:val="32"/>
        </w:rPr>
        <w:t>、一般公共服务（类）市场监督管理事务（款）医疗器械事务（项）。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0.67</w:t>
      </w:r>
      <w:r>
        <w:rPr>
          <w:rFonts w:hint="eastAsia" w:ascii="宋体" w:eastAsia="宋体"/>
          <w:sz w:val="32"/>
          <w:szCs w:val="32"/>
        </w:rPr>
        <w:t>万元，决算数大于年初预算数的主要原因是：省级专项资金增加。</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5</w:t>
      </w:r>
      <w:r>
        <w:rPr>
          <w:rFonts w:hint="eastAsia" w:ascii="宋体" w:eastAsia="宋体"/>
          <w:sz w:val="32"/>
          <w:szCs w:val="32"/>
        </w:rPr>
        <w:t>、一般公共服务（类）市场监督管理事务（款）化妆品事务（项）。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8.13</w:t>
      </w:r>
      <w:r>
        <w:rPr>
          <w:rFonts w:hint="eastAsia" w:ascii="宋体" w:eastAsia="宋体"/>
          <w:sz w:val="32"/>
          <w:szCs w:val="32"/>
        </w:rPr>
        <w:t>万元，决算数大于年初预算数的主要原因是：省级专项资金追加。</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6</w:t>
      </w:r>
      <w:r>
        <w:rPr>
          <w:rFonts w:hint="eastAsia" w:ascii="宋体" w:eastAsia="宋体"/>
          <w:sz w:val="32"/>
          <w:szCs w:val="32"/>
        </w:rPr>
        <w:t>、一般公共服务（类）市场监督管理事务（款）</w:t>
      </w:r>
      <w:r>
        <w:rPr>
          <w:rFonts w:hint="eastAsia" w:ascii="宋体" w:eastAsia="宋体"/>
          <w:sz w:val="32"/>
          <w:szCs w:val="32"/>
          <w:lang w:eastAsia="zh-CN"/>
        </w:rPr>
        <w:t>食品安全监管</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82</w:t>
      </w:r>
      <w:r>
        <w:rPr>
          <w:rFonts w:hint="eastAsia" w:ascii="宋体" w:eastAsia="宋体"/>
          <w:sz w:val="32"/>
          <w:szCs w:val="32"/>
        </w:rPr>
        <w:t>万元，支出决算为</w:t>
      </w:r>
      <w:r>
        <w:rPr>
          <w:rFonts w:hint="eastAsia" w:ascii="宋体" w:eastAsia="宋体"/>
          <w:sz w:val="32"/>
          <w:szCs w:val="32"/>
          <w:lang w:val="en-US" w:eastAsia="zh-CN"/>
        </w:rPr>
        <w:t>31.98</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w:t>
      </w:r>
      <w:r>
        <w:rPr>
          <w:rFonts w:hint="eastAsia" w:ascii="宋体" w:eastAsia="宋体"/>
          <w:sz w:val="32"/>
          <w:szCs w:val="32"/>
          <w:lang w:eastAsia="zh-CN"/>
        </w:rPr>
        <w:t>小</w:t>
      </w:r>
      <w:r>
        <w:rPr>
          <w:rFonts w:hint="eastAsia" w:ascii="宋体" w:eastAsia="宋体"/>
          <w:sz w:val="32"/>
          <w:szCs w:val="32"/>
        </w:rPr>
        <w:t>于年初预算数的主要原因是：</w:t>
      </w:r>
      <w:r>
        <w:rPr>
          <w:rFonts w:hint="eastAsia" w:ascii="宋体" w:eastAsia="宋体"/>
          <w:sz w:val="32"/>
          <w:szCs w:val="32"/>
          <w:lang w:eastAsia="zh-CN"/>
        </w:rPr>
        <w:t>部分专项资金由中央、</w:t>
      </w:r>
      <w:r>
        <w:rPr>
          <w:rFonts w:hint="eastAsia" w:ascii="宋体" w:eastAsia="宋体"/>
          <w:sz w:val="32"/>
          <w:szCs w:val="32"/>
        </w:rPr>
        <w:t>省级专项资金追加</w:t>
      </w:r>
      <w:r>
        <w:rPr>
          <w:rFonts w:hint="eastAsia" w:ascii="宋体" w:eastAsia="宋体"/>
          <w:sz w:val="32"/>
          <w:szCs w:val="32"/>
          <w:lang w:eastAsia="zh-CN"/>
        </w:rPr>
        <w:t>使用</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17、</w:t>
      </w:r>
      <w:r>
        <w:rPr>
          <w:rFonts w:hint="eastAsia" w:ascii="宋体" w:eastAsia="宋体"/>
          <w:sz w:val="32"/>
          <w:szCs w:val="32"/>
        </w:rPr>
        <w:t>一般公共服务（类）市场监督管理事务（款）事业运行（项）。</w:t>
      </w:r>
    </w:p>
    <w:p>
      <w:pPr>
        <w:pStyle w:val="9"/>
        <w:ind w:firstLine="800" w:firstLineChars="250"/>
        <w:rPr>
          <w:rFonts w:hint="eastAsia" w:ascii="宋体" w:eastAsia="宋体"/>
          <w:color w:val="auto"/>
          <w:sz w:val="32"/>
          <w:szCs w:val="32"/>
        </w:rPr>
      </w:pPr>
      <w:r>
        <w:rPr>
          <w:rFonts w:hint="eastAsia" w:ascii="宋体" w:eastAsia="宋体"/>
          <w:sz w:val="32"/>
          <w:szCs w:val="32"/>
        </w:rPr>
        <w:t>年初预算为</w:t>
      </w:r>
      <w:r>
        <w:rPr>
          <w:rFonts w:hint="eastAsia" w:ascii="宋体" w:eastAsia="宋体"/>
          <w:sz w:val="32"/>
          <w:szCs w:val="32"/>
          <w:lang w:val="en-US" w:eastAsia="zh-CN"/>
        </w:rPr>
        <w:t>68.45</w:t>
      </w:r>
      <w:r>
        <w:rPr>
          <w:rFonts w:hint="eastAsia" w:ascii="宋体" w:eastAsia="宋体"/>
          <w:sz w:val="32"/>
          <w:szCs w:val="32"/>
        </w:rPr>
        <w:t>万元，支出决算为</w:t>
      </w:r>
      <w:r>
        <w:rPr>
          <w:rFonts w:hint="eastAsia" w:ascii="宋体" w:eastAsia="宋体"/>
          <w:sz w:val="32"/>
          <w:szCs w:val="32"/>
          <w:lang w:val="en-US" w:eastAsia="zh-CN"/>
        </w:rPr>
        <w:t>148.80</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imes New Roman" w:hAnsi="Times New Roman" w:eastAsia="仿宋_GB2312" w:cs="Times New Roman"/>
          <w:color w:val="auto"/>
          <w:sz w:val="32"/>
          <w:szCs w:val="32"/>
          <w:lang w:val="en-US" w:eastAsia="zh-CN"/>
        </w:rPr>
        <w:t>217.38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color w:val="auto"/>
          <w:sz w:val="32"/>
          <w:szCs w:val="32"/>
        </w:rPr>
        <w:t>决算数大于年初预算数的主要原因是：财政追加政策性奖励金等经费拨款。</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8</w:t>
      </w:r>
      <w:r>
        <w:rPr>
          <w:rFonts w:hint="eastAsia" w:ascii="宋体" w:eastAsia="宋体"/>
          <w:sz w:val="32"/>
          <w:szCs w:val="32"/>
        </w:rPr>
        <w:t>、一般公共服务（类）市场监督管理事务（款）其他市场监督管理事务（项）。</w:t>
      </w:r>
    </w:p>
    <w:p>
      <w:pPr>
        <w:pStyle w:val="9"/>
        <w:ind w:firstLine="800" w:firstLineChars="250"/>
        <w:rPr>
          <w:rFonts w:hint="eastAsia" w:ascii="宋体" w:eastAsia="宋体"/>
          <w:sz w:val="32"/>
          <w:szCs w:val="32"/>
        </w:rPr>
      </w:pPr>
      <w:r>
        <w:rPr>
          <w:rFonts w:hint="eastAsia" w:ascii="宋体" w:eastAsia="宋体"/>
          <w:color w:val="auto"/>
          <w:sz w:val="32"/>
          <w:szCs w:val="32"/>
        </w:rPr>
        <w:t>年初预算为</w:t>
      </w:r>
      <w:r>
        <w:rPr>
          <w:rFonts w:hint="eastAsia" w:ascii="宋体" w:eastAsia="宋体"/>
          <w:color w:val="auto"/>
          <w:sz w:val="32"/>
          <w:szCs w:val="32"/>
          <w:lang w:val="en-US" w:eastAsia="zh-CN"/>
        </w:rPr>
        <w:t>29.21</w:t>
      </w:r>
      <w:r>
        <w:rPr>
          <w:rFonts w:hint="eastAsia" w:ascii="宋体" w:eastAsia="宋体"/>
          <w:color w:val="auto"/>
          <w:sz w:val="32"/>
          <w:szCs w:val="32"/>
        </w:rPr>
        <w:t>万元，支出决算为</w:t>
      </w:r>
      <w:r>
        <w:rPr>
          <w:rFonts w:hint="eastAsia" w:ascii="宋体" w:eastAsia="宋体"/>
          <w:color w:val="auto"/>
          <w:sz w:val="32"/>
          <w:szCs w:val="32"/>
          <w:lang w:val="en-US" w:eastAsia="zh-CN"/>
        </w:rPr>
        <w:t>408.14</w:t>
      </w:r>
      <w:r>
        <w:rPr>
          <w:rFonts w:hint="eastAsia" w:ascii="宋体" w:eastAsia="宋体"/>
          <w:color w:val="auto"/>
          <w:sz w:val="32"/>
          <w:szCs w:val="32"/>
        </w:rPr>
        <w:t>万元</w:t>
      </w:r>
      <w:r>
        <w:rPr>
          <w:rFonts w:hint="eastAsia" w:ascii="宋体" w:eastAsia="宋体"/>
          <w:color w:val="auto"/>
          <w:sz w:val="32"/>
          <w:szCs w:val="32"/>
          <w:lang w:eastAsia="zh-CN"/>
        </w:rPr>
        <w:t>，</w:t>
      </w:r>
      <w:r>
        <w:rPr>
          <w:rFonts w:hint="eastAsia" w:asciiTheme="minorEastAsia" w:hAnsiTheme="minorEastAsia" w:eastAsiaTheme="minorEastAsia"/>
          <w:sz w:val="32"/>
          <w:szCs w:val="32"/>
        </w:rPr>
        <w:t>完成年初预算的</w:t>
      </w:r>
      <w:r>
        <w:rPr>
          <w:rFonts w:hint="eastAsia" w:ascii="Times New Roman" w:hAnsi="Times New Roman" w:eastAsia="仿宋_GB2312" w:cs="Times New Roman"/>
          <w:color w:val="auto"/>
          <w:sz w:val="32"/>
          <w:szCs w:val="32"/>
          <w:lang w:val="en-US" w:eastAsia="zh-CN"/>
        </w:rPr>
        <w:t>1397.26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sz w:val="32"/>
          <w:szCs w:val="32"/>
        </w:rPr>
        <w:t>决算数大于年初预算数的主要原因是：</w:t>
      </w:r>
      <w:r>
        <w:rPr>
          <w:rFonts w:hint="eastAsia" w:ascii="宋体" w:eastAsia="宋体"/>
          <w:sz w:val="32"/>
          <w:szCs w:val="32"/>
          <w:lang w:eastAsia="zh-CN"/>
        </w:rPr>
        <w:t>中央、</w:t>
      </w:r>
      <w:r>
        <w:rPr>
          <w:rFonts w:hint="eastAsia" w:ascii="宋体" w:eastAsia="宋体"/>
          <w:sz w:val="32"/>
          <w:szCs w:val="32"/>
        </w:rPr>
        <w:t>省级专项资金追加。</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9</w:t>
      </w:r>
      <w:r>
        <w:rPr>
          <w:rFonts w:hint="eastAsia" w:ascii="宋体" w:eastAsia="宋体"/>
          <w:sz w:val="32"/>
          <w:szCs w:val="32"/>
        </w:rPr>
        <w:t>、教育支出（类）进修及培训（款）培训支出（项）。</w:t>
      </w:r>
    </w:p>
    <w:p>
      <w:pPr>
        <w:pStyle w:val="9"/>
        <w:ind w:firstLine="800" w:firstLineChars="250"/>
        <w:rPr>
          <w:rFonts w:hint="eastAsia" w:ascii="Times New Roman" w:hAnsi="Times New Roman" w:eastAsia="宋体" w:cs="Times New Roman"/>
          <w:color w:val="auto"/>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23.99</w:t>
      </w:r>
      <w:r>
        <w:rPr>
          <w:rFonts w:hint="eastAsia" w:ascii="宋体" w:eastAsia="宋体"/>
          <w:sz w:val="32"/>
          <w:szCs w:val="32"/>
        </w:rPr>
        <w:t>万元，支出决算为</w:t>
      </w:r>
      <w:r>
        <w:rPr>
          <w:rFonts w:hint="eastAsia" w:ascii="宋体" w:eastAsia="宋体"/>
          <w:sz w:val="32"/>
          <w:szCs w:val="32"/>
          <w:lang w:val="en-US" w:eastAsia="zh-CN"/>
        </w:rPr>
        <w:t>23.78</w:t>
      </w:r>
      <w:r>
        <w:rPr>
          <w:rFonts w:hint="eastAsia" w:ascii="宋体" w:eastAsia="宋体"/>
          <w:sz w:val="32"/>
          <w:szCs w:val="32"/>
        </w:rPr>
        <w:t>万元.</w:t>
      </w:r>
      <w:r>
        <w:rPr>
          <w:rFonts w:hint="eastAsia" w:ascii="宋体" w:eastAsia="宋体"/>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99.12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宋体" w:eastAsia="宋体"/>
          <w:sz w:val="32"/>
          <w:szCs w:val="32"/>
        </w:rPr>
        <w:t>决算数</w:t>
      </w:r>
      <w:r>
        <w:rPr>
          <w:rFonts w:hint="eastAsia" w:ascii="宋体" w:eastAsia="宋体"/>
          <w:sz w:val="32"/>
          <w:szCs w:val="32"/>
          <w:lang w:eastAsia="zh-CN"/>
        </w:rPr>
        <w:t>小</w:t>
      </w:r>
      <w:r>
        <w:rPr>
          <w:rFonts w:hint="eastAsia" w:ascii="宋体" w:eastAsia="宋体"/>
          <w:sz w:val="32"/>
          <w:szCs w:val="32"/>
        </w:rPr>
        <w:t>于年初预算数的主要原因是：</w:t>
      </w:r>
      <w:r>
        <w:rPr>
          <w:rFonts w:hint="eastAsia" w:ascii="宋体" w:eastAsia="宋体"/>
          <w:sz w:val="32"/>
          <w:szCs w:val="32"/>
          <w:lang w:eastAsia="zh-CN"/>
        </w:rPr>
        <w:t>由于人员变动计提培训费减少。</w:t>
      </w:r>
    </w:p>
    <w:p>
      <w:pPr>
        <w:pStyle w:val="9"/>
        <w:ind w:firstLine="800" w:firstLineChars="250"/>
        <w:rPr>
          <w:rFonts w:hint="eastAsia" w:ascii="宋体" w:eastAsia="宋体"/>
          <w:sz w:val="32"/>
          <w:szCs w:val="32"/>
        </w:rPr>
      </w:pPr>
      <w:r>
        <w:rPr>
          <w:rFonts w:hint="eastAsia" w:ascii="宋体" w:eastAsia="宋体"/>
          <w:sz w:val="32"/>
          <w:szCs w:val="32"/>
          <w:lang w:val="en-US" w:eastAsia="zh-CN"/>
        </w:rPr>
        <w:t>20</w:t>
      </w:r>
      <w:r>
        <w:rPr>
          <w:rFonts w:hint="eastAsia" w:ascii="宋体" w:eastAsia="宋体"/>
          <w:sz w:val="32"/>
          <w:szCs w:val="32"/>
        </w:rPr>
        <w:t>、科学技术支出（类）科学技术管理事务（款）一般行政管理事务（项）。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3.80</w:t>
      </w:r>
      <w:r>
        <w:rPr>
          <w:rFonts w:hint="eastAsia" w:ascii="宋体" w:eastAsia="宋体"/>
          <w:sz w:val="32"/>
          <w:szCs w:val="32"/>
        </w:rPr>
        <w:t>万元，决算数大于年初预算数的主要原因是：</w:t>
      </w:r>
      <w:r>
        <w:rPr>
          <w:rFonts w:hint="eastAsia" w:ascii="宋体" w:eastAsia="宋体"/>
          <w:sz w:val="32"/>
          <w:szCs w:val="32"/>
          <w:lang w:eastAsia="zh-CN"/>
        </w:rPr>
        <w:t>支付上年结转未付成功</w:t>
      </w:r>
      <w:r>
        <w:rPr>
          <w:rFonts w:hint="eastAsia" w:ascii="宋体" w:eastAsia="宋体"/>
          <w:sz w:val="32"/>
          <w:szCs w:val="32"/>
        </w:rPr>
        <w:t>知识产权专利奖励。</w:t>
      </w:r>
    </w:p>
    <w:p>
      <w:pPr>
        <w:pStyle w:val="9"/>
        <w:ind w:firstLine="800" w:firstLineChars="250"/>
        <w:rPr>
          <w:rFonts w:hint="eastAsia" w:ascii="宋体" w:eastAsia="宋体"/>
          <w:sz w:val="32"/>
          <w:szCs w:val="32"/>
        </w:rPr>
      </w:pPr>
      <w:r>
        <w:rPr>
          <w:rFonts w:hint="eastAsia" w:ascii="宋体" w:eastAsia="宋体"/>
          <w:sz w:val="32"/>
          <w:szCs w:val="32"/>
          <w:lang w:val="en-US" w:eastAsia="zh-CN"/>
        </w:rPr>
        <w:t>21</w:t>
      </w:r>
      <w:r>
        <w:rPr>
          <w:rFonts w:hint="eastAsia" w:ascii="宋体" w:eastAsia="宋体"/>
          <w:sz w:val="32"/>
          <w:szCs w:val="32"/>
        </w:rPr>
        <w:t>、科学技术支出（类）</w:t>
      </w:r>
      <w:r>
        <w:rPr>
          <w:rFonts w:hint="eastAsia" w:ascii="宋体" w:eastAsia="宋体"/>
          <w:sz w:val="32"/>
          <w:szCs w:val="32"/>
          <w:lang w:eastAsia="zh-CN"/>
        </w:rPr>
        <w:t>基础研究</w:t>
      </w:r>
      <w:r>
        <w:rPr>
          <w:rFonts w:hint="eastAsia" w:ascii="宋体" w:eastAsia="宋体"/>
          <w:sz w:val="32"/>
          <w:szCs w:val="32"/>
        </w:rPr>
        <w:t>（款）</w:t>
      </w:r>
      <w:r>
        <w:rPr>
          <w:rFonts w:hint="eastAsia" w:ascii="宋体" w:eastAsia="宋体"/>
          <w:sz w:val="32"/>
          <w:szCs w:val="32"/>
          <w:lang w:eastAsia="zh-CN"/>
        </w:rPr>
        <w:t>自然科学基金</w:t>
      </w:r>
      <w:r>
        <w:rPr>
          <w:rFonts w:hint="eastAsia" w:ascii="宋体" w:eastAsia="宋体"/>
          <w:sz w:val="32"/>
          <w:szCs w:val="32"/>
        </w:rPr>
        <w:t>（项）。</w:t>
      </w:r>
    </w:p>
    <w:p>
      <w:pPr>
        <w:pStyle w:val="9"/>
        <w:ind w:firstLine="800" w:firstLineChars="250"/>
        <w:rPr>
          <w:rFonts w:hint="eastAsia" w:ascii="宋体" w:eastAsia="宋体"/>
          <w:sz w:val="32"/>
          <w:szCs w:val="32"/>
          <w:lang w:eastAsia="zh-CN"/>
        </w:rPr>
      </w:pPr>
      <w:r>
        <w:rPr>
          <w:rFonts w:hint="eastAsia" w:ascii="宋体" w:eastAsia="宋体"/>
          <w:sz w:val="32"/>
          <w:szCs w:val="32"/>
        </w:rPr>
        <w:t>年初预算为0万元，支出决算为</w:t>
      </w:r>
      <w:r>
        <w:rPr>
          <w:rFonts w:hint="eastAsia" w:ascii="宋体" w:eastAsia="宋体"/>
          <w:sz w:val="32"/>
          <w:szCs w:val="32"/>
          <w:lang w:val="en-US" w:eastAsia="zh-CN"/>
        </w:rPr>
        <w:t>1.31</w:t>
      </w:r>
      <w:r>
        <w:rPr>
          <w:rFonts w:hint="eastAsia" w:ascii="宋体" w:eastAsia="宋体"/>
          <w:sz w:val="32"/>
          <w:szCs w:val="32"/>
        </w:rPr>
        <w:t>万元，决算数大于年初预算数的主要原因是：</w:t>
      </w:r>
      <w:r>
        <w:rPr>
          <w:rFonts w:hint="eastAsia" w:ascii="宋体" w:eastAsia="宋体"/>
          <w:sz w:val="32"/>
          <w:szCs w:val="32"/>
          <w:lang w:eastAsia="zh-CN"/>
        </w:rPr>
        <w:t>财政追加专项资金。</w:t>
      </w:r>
    </w:p>
    <w:p>
      <w:pPr>
        <w:pStyle w:val="9"/>
        <w:ind w:firstLine="800" w:firstLineChars="250"/>
        <w:rPr>
          <w:rFonts w:hint="eastAsia" w:ascii="宋体" w:eastAsia="宋体"/>
          <w:sz w:val="32"/>
          <w:szCs w:val="32"/>
        </w:rPr>
      </w:pPr>
      <w:r>
        <w:rPr>
          <w:rFonts w:hint="eastAsia" w:ascii="宋体" w:eastAsia="宋体"/>
          <w:color w:val="auto"/>
          <w:sz w:val="32"/>
          <w:szCs w:val="32"/>
          <w:lang w:val="en-US" w:eastAsia="zh-CN"/>
        </w:rPr>
        <w:t>22、</w:t>
      </w:r>
      <w:r>
        <w:rPr>
          <w:rFonts w:hint="eastAsia" w:ascii="宋体" w:eastAsia="宋体"/>
          <w:sz w:val="32"/>
          <w:szCs w:val="32"/>
          <w:lang w:eastAsia="zh-CN"/>
        </w:rPr>
        <w:t>社会保障和就业支出</w:t>
      </w:r>
      <w:r>
        <w:rPr>
          <w:rFonts w:hint="eastAsia" w:ascii="宋体" w:eastAsia="宋体"/>
          <w:sz w:val="32"/>
          <w:szCs w:val="32"/>
        </w:rPr>
        <w:t>（类）</w:t>
      </w:r>
      <w:r>
        <w:rPr>
          <w:rFonts w:hint="eastAsia" w:ascii="宋体" w:eastAsia="宋体"/>
          <w:sz w:val="32"/>
          <w:szCs w:val="32"/>
          <w:lang w:eastAsia="zh-CN"/>
        </w:rPr>
        <w:t>人力资源和社会保障管理</w:t>
      </w:r>
      <w:r>
        <w:rPr>
          <w:rFonts w:hint="eastAsia" w:ascii="宋体" w:eastAsia="宋体"/>
          <w:sz w:val="32"/>
          <w:szCs w:val="32"/>
        </w:rPr>
        <w:t>事务（款）</w:t>
      </w:r>
      <w:r>
        <w:rPr>
          <w:rFonts w:hint="eastAsia" w:ascii="宋体" w:eastAsia="宋体"/>
          <w:sz w:val="32"/>
          <w:szCs w:val="32"/>
          <w:lang w:eastAsia="zh-CN"/>
        </w:rPr>
        <w:t>社会保险经办机构</w:t>
      </w:r>
      <w:r>
        <w:rPr>
          <w:rFonts w:hint="eastAsia" w:ascii="宋体" w:eastAsia="宋体"/>
          <w:sz w:val="32"/>
          <w:szCs w:val="32"/>
        </w:rPr>
        <w:t>（项）。</w:t>
      </w:r>
    </w:p>
    <w:p>
      <w:pPr>
        <w:pStyle w:val="9"/>
        <w:ind w:firstLine="800" w:firstLineChars="250"/>
        <w:rPr>
          <w:rFonts w:hint="eastAsia" w:ascii="宋体" w:eastAsia="宋体"/>
          <w:sz w:val="32"/>
          <w:szCs w:val="32"/>
          <w:lang w:eastAsia="zh-CN"/>
        </w:rPr>
      </w:pPr>
      <w:r>
        <w:rPr>
          <w:rFonts w:hint="eastAsia" w:ascii="宋体" w:eastAsia="宋体"/>
          <w:color w:val="auto"/>
          <w:sz w:val="32"/>
          <w:szCs w:val="32"/>
        </w:rPr>
        <w:t>年初预算为</w:t>
      </w:r>
      <w:r>
        <w:rPr>
          <w:rFonts w:hint="eastAsia" w:ascii="宋体" w:eastAsia="宋体"/>
          <w:color w:val="auto"/>
          <w:sz w:val="32"/>
          <w:szCs w:val="32"/>
          <w:lang w:val="en-US" w:eastAsia="zh-CN"/>
        </w:rPr>
        <w:t>0</w:t>
      </w:r>
      <w:r>
        <w:rPr>
          <w:rFonts w:hint="eastAsia" w:ascii="宋体" w:eastAsia="宋体"/>
          <w:color w:val="auto"/>
          <w:sz w:val="32"/>
          <w:szCs w:val="32"/>
        </w:rPr>
        <w:t>万元，支出决算为</w:t>
      </w:r>
      <w:r>
        <w:rPr>
          <w:rFonts w:hint="eastAsia" w:ascii="宋体" w:eastAsia="宋体"/>
          <w:color w:val="auto"/>
          <w:sz w:val="32"/>
          <w:szCs w:val="32"/>
          <w:lang w:val="en-US" w:eastAsia="zh-CN"/>
        </w:rPr>
        <w:t>16.53</w:t>
      </w:r>
      <w:r>
        <w:rPr>
          <w:rFonts w:hint="eastAsia" w:ascii="宋体" w:eastAsia="宋体"/>
          <w:color w:val="auto"/>
          <w:sz w:val="32"/>
          <w:szCs w:val="32"/>
        </w:rPr>
        <w:t>万元</w:t>
      </w:r>
      <w:r>
        <w:rPr>
          <w:rFonts w:hint="eastAsia" w:ascii="宋体" w:eastAsia="宋体"/>
          <w:color w:val="auto"/>
          <w:sz w:val="32"/>
          <w:szCs w:val="32"/>
          <w:lang w:eastAsia="zh-CN"/>
        </w:rPr>
        <w:t>，</w:t>
      </w:r>
      <w:r>
        <w:rPr>
          <w:rFonts w:hint="eastAsia" w:ascii="宋体" w:eastAsia="宋体"/>
          <w:sz w:val="32"/>
          <w:szCs w:val="32"/>
        </w:rPr>
        <w:t>决算数大于年初预算数的主要原因是：</w:t>
      </w:r>
      <w:r>
        <w:rPr>
          <w:rFonts w:hint="eastAsia" w:ascii="宋体" w:eastAsia="宋体"/>
          <w:sz w:val="32"/>
          <w:szCs w:val="32"/>
          <w:lang w:eastAsia="zh-CN"/>
        </w:rPr>
        <w:t>在职人员失业保险缴费由财政统一安排，本单位无</w:t>
      </w:r>
      <w:r>
        <w:rPr>
          <w:rFonts w:hint="eastAsia" w:ascii="宋体" w:eastAsia="宋体"/>
          <w:sz w:val="32"/>
          <w:szCs w:val="32"/>
        </w:rPr>
        <w:t>年初预算</w:t>
      </w:r>
      <w:r>
        <w:rPr>
          <w:rFonts w:hint="eastAsia" w:ascii="宋体" w:eastAsia="宋体"/>
          <w:sz w:val="32"/>
          <w:szCs w:val="32"/>
          <w:lang w:eastAsia="zh-CN"/>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23、</w:t>
      </w:r>
      <w:r>
        <w:rPr>
          <w:rFonts w:hint="eastAsia" w:ascii="宋体" w:eastAsia="宋体"/>
          <w:sz w:val="32"/>
          <w:szCs w:val="32"/>
        </w:rPr>
        <w:t>社会保障和就业支出（类）行政事业单位离退休（款）归口管理的行政单位离退休（项）。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70.34</w:t>
      </w:r>
      <w:r>
        <w:rPr>
          <w:rFonts w:hint="eastAsia" w:ascii="宋体" w:eastAsia="宋体"/>
          <w:sz w:val="32"/>
          <w:szCs w:val="32"/>
        </w:rPr>
        <w:t>万元，支出决算为</w:t>
      </w:r>
      <w:r>
        <w:rPr>
          <w:rFonts w:hint="eastAsia" w:ascii="宋体" w:eastAsia="宋体"/>
          <w:sz w:val="32"/>
          <w:szCs w:val="32"/>
          <w:lang w:val="en-US" w:eastAsia="zh-CN"/>
        </w:rPr>
        <w:t>251.91</w:t>
      </w:r>
      <w:r>
        <w:rPr>
          <w:rFonts w:hint="eastAsia" w:ascii="宋体" w:eastAsia="宋体"/>
          <w:sz w:val="32"/>
          <w:szCs w:val="32"/>
        </w:rPr>
        <w:t>万元</w:t>
      </w:r>
      <w:r>
        <w:rPr>
          <w:rFonts w:hint="eastAsia" w:ascii="宋体" w:eastAsia="宋体"/>
          <w:color w:val="auto"/>
          <w:sz w:val="32"/>
          <w:szCs w:val="32"/>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358.13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sz w:val="32"/>
          <w:szCs w:val="32"/>
        </w:rPr>
        <w:t>决算数大于年初预算数的主要原因是：离退休人员政策性奖励金</w:t>
      </w:r>
      <w:r>
        <w:rPr>
          <w:rFonts w:hint="eastAsia" w:ascii="宋体" w:eastAsia="宋体"/>
          <w:sz w:val="32"/>
          <w:szCs w:val="32"/>
          <w:lang w:eastAsia="zh-CN"/>
        </w:rPr>
        <w:t>由财政统一安排，本单位</w:t>
      </w:r>
      <w:r>
        <w:rPr>
          <w:rFonts w:hint="eastAsia" w:ascii="宋体" w:eastAsia="宋体"/>
          <w:sz w:val="32"/>
          <w:szCs w:val="32"/>
        </w:rPr>
        <w:t>无年初预算。</w:t>
      </w:r>
    </w:p>
    <w:p>
      <w:pPr>
        <w:pStyle w:val="9"/>
        <w:ind w:firstLine="800" w:firstLineChars="250"/>
        <w:rPr>
          <w:rFonts w:hint="eastAsia" w:ascii="宋体" w:eastAsia="宋体"/>
          <w:sz w:val="32"/>
          <w:szCs w:val="32"/>
        </w:rPr>
      </w:pPr>
      <w:r>
        <w:rPr>
          <w:rFonts w:hint="eastAsia" w:ascii="宋体" w:eastAsia="宋体"/>
          <w:sz w:val="32"/>
          <w:szCs w:val="32"/>
          <w:lang w:val="en-US" w:eastAsia="zh-CN"/>
        </w:rPr>
        <w:t>24</w:t>
      </w:r>
      <w:r>
        <w:rPr>
          <w:rFonts w:hint="eastAsia" w:ascii="宋体" w:eastAsia="宋体"/>
          <w:sz w:val="32"/>
          <w:szCs w:val="32"/>
        </w:rPr>
        <w:t>、社会保障和就业支出（类）行政事业单位离退休（款）事业单位离退休（项）。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22.38</w:t>
      </w:r>
      <w:r>
        <w:rPr>
          <w:rFonts w:hint="eastAsia" w:ascii="宋体" w:eastAsia="宋体"/>
          <w:sz w:val="32"/>
          <w:szCs w:val="32"/>
        </w:rPr>
        <w:t>万元，支出决算为</w:t>
      </w:r>
      <w:r>
        <w:rPr>
          <w:rFonts w:hint="eastAsia" w:ascii="宋体" w:eastAsia="宋体"/>
          <w:sz w:val="32"/>
          <w:szCs w:val="32"/>
          <w:lang w:val="en-US" w:eastAsia="zh-CN"/>
        </w:rPr>
        <w:t>79.83</w:t>
      </w:r>
      <w:r>
        <w:rPr>
          <w:rFonts w:hint="eastAsia" w:ascii="宋体" w:eastAsia="宋体"/>
          <w:sz w:val="32"/>
          <w:szCs w:val="32"/>
        </w:rPr>
        <w:t>万元</w:t>
      </w:r>
      <w:r>
        <w:rPr>
          <w:rFonts w:hint="eastAsia" w:ascii="宋体" w:eastAsia="宋体"/>
          <w:color w:val="auto"/>
          <w:sz w:val="32"/>
          <w:szCs w:val="32"/>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434.65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color w:val="auto"/>
          <w:sz w:val="32"/>
          <w:szCs w:val="32"/>
        </w:rPr>
        <w:t>决算数</w:t>
      </w:r>
      <w:r>
        <w:rPr>
          <w:rFonts w:hint="eastAsia" w:ascii="宋体" w:eastAsia="宋体"/>
          <w:sz w:val="32"/>
          <w:szCs w:val="32"/>
        </w:rPr>
        <w:t>大于年初预算数的主要原因是：离退休人员政策性奖励金</w:t>
      </w:r>
      <w:r>
        <w:rPr>
          <w:rFonts w:hint="eastAsia" w:ascii="宋体" w:eastAsia="宋体"/>
          <w:sz w:val="32"/>
          <w:szCs w:val="32"/>
          <w:lang w:eastAsia="zh-CN"/>
        </w:rPr>
        <w:t>由财政统一安排，本单位</w:t>
      </w:r>
      <w:r>
        <w:rPr>
          <w:rFonts w:hint="eastAsia" w:ascii="宋体" w:eastAsia="宋体"/>
          <w:sz w:val="32"/>
          <w:szCs w:val="32"/>
        </w:rPr>
        <w:t>无年初预算。</w:t>
      </w:r>
    </w:p>
    <w:p>
      <w:pPr>
        <w:pStyle w:val="9"/>
        <w:ind w:firstLine="800" w:firstLineChars="250"/>
        <w:rPr>
          <w:rFonts w:hint="eastAsia" w:ascii="宋体" w:eastAsia="宋体"/>
          <w:sz w:val="32"/>
          <w:szCs w:val="32"/>
        </w:rPr>
      </w:pPr>
      <w:r>
        <w:rPr>
          <w:rFonts w:hint="eastAsia" w:ascii="宋体" w:eastAsia="宋体"/>
          <w:sz w:val="32"/>
          <w:szCs w:val="32"/>
          <w:lang w:val="en-US" w:eastAsia="zh-CN"/>
        </w:rPr>
        <w:t>25</w:t>
      </w:r>
      <w:r>
        <w:rPr>
          <w:rFonts w:hint="eastAsia" w:ascii="宋体" w:eastAsia="宋体"/>
          <w:sz w:val="32"/>
          <w:szCs w:val="32"/>
        </w:rPr>
        <w:t>、社会保障和就业支出（类）行政事业单位离退休（款）</w:t>
      </w:r>
      <w:r>
        <w:rPr>
          <w:rFonts w:hint="eastAsia" w:ascii="宋体" w:eastAsia="宋体"/>
          <w:sz w:val="32"/>
          <w:szCs w:val="32"/>
          <w:lang w:eastAsia="zh-CN"/>
        </w:rPr>
        <w:t>机关事业单位基本养老保险缴费支出</w:t>
      </w:r>
      <w:r>
        <w:rPr>
          <w:rFonts w:hint="eastAsia" w:ascii="宋体" w:eastAsia="宋体"/>
          <w:sz w:val="32"/>
          <w:szCs w:val="32"/>
        </w:rPr>
        <w:t>（项）。</w:t>
      </w:r>
    </w:p>
    <w:p>
      <w:pPr>
        <w:pStyle w:val="9"/>
        <w:ind w:firstLine="800" w:firstLineChars="250"/>
        <w:rPr>
          <w:rFonts w:hint="eastAsia" w:ascii="宋体" w:eastAsia="宋体"/>
          <w:sz w:val="32"/>
          <w:szCs w:val="32"/>
          <w:lang w:eastAsia="zh-CN"/>
        </w:rPr>
      </w:pPr>
      <w:r>
        <w:rPr>
          <w:rFonts w:hint="eastAsia" w:ascii="宋体" w:eastAsia="宋体"/>
          <w:sz w:val="32"/>
          <w:szCs w:val="32"/>
        </w:rPr>
        <w:t>年初预算为</w:t>
      </w:r>
      <w:r>
        <w:rPr>
          <w:rFonts w:hint="eastAsia" w:ascii="宋体" w:eastAsia="宋体"/>
          <w:sz w:val="32"/>
          <w:szCs w:val="32"/>
          <w:lang w:val="en-US" w:eastAsia="zh-CN"/>
        </w:rPr>
        <w:t>362.10</w:t>
      </w:r>
      <w:r>
        <w:rPr>
          <w:rFonts w:hint="eastAsia" w:ascii="宋体" w:eastAsia="宋体"/>
          <w:sz w:val="32"/>
          <w:szCs w:val="32"/>
        </w:rPr>
        <w:t>万元，支出决算为</w:t>
      </w:r>
      <w:r>
        <w:rPr>
          <w:rFonts w:hint="eastAsia" w:ascii="宋体" w:eastAsia="宋体"/>
          <w:sz w:val="32"/>
          <w:szCs w:val="32"/>
          <w:lang w:val="en-US" w:eastAsia="zh-CN"/>
        </w:rPr>
        <w:t>387.61</w:t>
      </w:r>
      <w:r>
        <w:rPr>
          <w:rFonts w:hint="eastAsia" w:ascii="宋体" w:eastAsia="宋体"/>
          <w:sz w:val="32"/>
          <w:szCs w:val="32"/>
        </w:rPr>
        <w:t>万元</w:t>
      </w:r>
      <w:r>
        <w:rPr>
          <w:rFonts w:hint="eastAsia" w:ascii="宋体" w:eastAsia="宋体"/>
          <w:color w:val="auto"/>
          <w:sz w:val="32"/>
          <w:szCs w:val="32"/>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107.05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color w:val="auto"/>
          <w:sz w:val="32"/>
          <w:szCs w:val="32"/>
        </w:rPr>
        <w:t>决算数</w:t>
      </w:r>
      <w:r>
        <w:rPr>
          <w:rFonts w:hint="eastAsia" w:ascii="宋体" w:eastAsia="宋体"/>
          <w:sz w:val="32"/>
          <w:szCs w:val="32"/>
        </w:rPr>
        <w:t>大于年初预算数的主要原因是</w:t>
      </w:r>
      <w:r>
        <w:rPr>
          <w:rFonts w:hint="eastAsia" w:ascii="宋体" w:eastAsia="宋体"/>
          <w:sz w:val="32"/>
          <w:szCs w:val="32"/>
          <w:lang w:eastAsia="zh-CN"/>
        </w:rPr>
        <w:t>：人员变动引起相应养老保险缴费变动。</w:t>
      </w:r>
    </w:p>
    <w:p>
      <w:pPr>
        <w:pStyle w:val="9"/>
        <w:ind w:firstLine="800" w:firstLineChars="250"/>
        <w:rPr>
          <w:rFonts w:hint="eastAsia" w:ascii="宋体" w:eastAsia="宋体"/>
          <w:sz w:val="32"/>
          <w:szCs w:val="32"/>
        </w:rPr>
      </w:pPr>
      <w:r>
        <w:rPr>
          <w:rFonts w:hint="eastAsia" w:ascii="宋体" w:eastAsia="宋体"/>
          <w:sz w:val="32"/>
          <w:szCs w:val="32"/>
        </w:rPr>
        <w:t>2</w:t>
      </w:r>
      <w:r>
        <w:rPr>
          <w:rFonts w:hint="eastAsia" w:ascii="宋体" w:eastAsia="宋体"/>
          <w:sz w:val="32"/>
          <w:szCs w:val="32"/>
          <w:lang w:val="en-US" w:eastAsia="zh-CN"/>
        </w:rPr>
        <w:t>6</w:t>
      </w:r>
      <w:r>
        <w:rPr>
          <w:rFonts w:hint="eastAsia" w:ascii="宋体" w:eastAsia="宋体"/>
          <w:sz w:val="32"/>
          <w:szCs w:val="32"/>
        </w:rPr>
        <w:t>、社会保障和就业支出（类）抚恤（款）死亡抚恤（项）。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41.88</w:t>
      </w:r>
      <w:r>
        <w:rPr>
          <w:rFonts w:hint="eastAsia" w:ascii="宋体" w:eastAsia="宋体"/>
          <w:sz w:val="32"/>
          <w:szCs w:val="32"/>
        </w:rPr>
        <w:t>万元，决算数大于年初预算数的主要原因是：财政追加</w:t>
      </w:r>
      <w:r>
        <w:rPr>
          <w:rFonts w:hint="eastAsia" w:ascii="宋体" w:eastAsia="宋体"/>
          <w:sz w:val="32"/>
          <w:szCs w:val="32"/>
          <w:lang w:val="en-US" w:eastAsia="zh-CN"/>
        </w:rPr>
        <w:t>3</w:t>
      </w:r>
      <w:r>
        <w:rPr>
          <w:rFonts w:hint="eastAsia" w:ascii="宋体" w:eastAsia="宋体"/>
          <w:sz w:val="32"/>
          <w:szCs w:val="32"/>
        </w:rPr>
        <w:t>人</w:t>
      </w:r>
      <w:r>
        <w:rPr>
          <w:rFonts w:hint="eastAsia" w:ascii="宋体" w:eastAsia="宋体"/>
          <w:color w:val="auto"/>
          <w:sz w:val="32"/>
          <w:szCs w:val="32"/>
        </w:rPr>
        <w:t>死亡抚恤经费拨款</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rPr>
        <w:t>2</w:t>
      </w:r>
      <w:r>
        <w:rPr>
          <w:rFonts w:hint="eastAsia" w:ascii="宋体" w:eastAsia="宋体"/>
          <w:sz w:val="32"/>
          <w:szCs w:val="32"/>
          <w:lang w:val="en-US" w:eastAsia="zh-CN"/>
        </w:rPr>
        <w:t>7</w:t>
      </w:r>
      <w:r>
        <w:rPr>
          <w:rFonts w:hint="eastAsia" w:ascii="宋体" w:eastAsia="宋体"/>
          <w:sz w:val="32"/>
          <w:szCs w:val="32"/>
        </w:rPr>
        <w:t>、社会保障和就业支出（类）抚恤（款）伤残抚恤（项）。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6.57</w:t>
      </w:r>
      <w:r>
        <w:rPr>
          <w:rFonts w:hint="eastAsia" w:ascii="宋体" w:eastAsia="宋体"/>
          <w:sz w:val="32"/>
          <w:szCs w:val="32"/>
        </w:rPr>
        <w:t>万元，决算数大于年初预算数的主要原因是：财政追加</w:t>
      </w:r>
      <w:r>
        <w:rPr>
          <w:rFonts w:hint="eastAsia" w:ascii="宋体" w:eastAsia="宋体"/>
          <w:sz w:val="32"/>
          <w:szCs w:val="32"/>
          <w:lang w:val="en-US" w:eastAsia="zh-CN"/>
        </w:rPr>
        <w:t>4</w:t>
      </w:r>
      <w:r>
        <w:rPr>
          <w:rFonts w:hint="eastAsia" w:ascii="宋体" w:eastAsia="宋体"/>
          <w:sz w:val="32"/>
          <w:szCs w:val="32"/>
        </w:rPr>
        <w:t xml:space="preserve">人伤残抚恤经费拨款。 </w:t>
      </w:r>
    </w:p>
    <w:p>
      <w:pPr>
        <w:pStyle w:val="9"/>
        <w:ind w:firstLine="800" w:firstLineChars="250"/>
        <w:rPr>
          <w:rFonts w:hint="eastAsia" w:ascii="宋体" w:eastAsia="宋体"/>
          <w:sz w:val="32"/>
          <w:szCs w:val="32"/>
        </w:rPr>
      </w:pPr>
      <w:r>
        <w:rPr>
          <w:rFonts w:hint="eastAsia" w:ascii="宋体" w:eastAsia="宋体"/>
          <w:sz w:val="32"/>
          <w:szCs w:val="32"/>
        </w:rPr>
        <w:t>2</w:t>
      </w:r>
      <w:r>
        <w:rPr>
          <w:rFonts w:hint="eastAsia" w:ascii="宋体" w:eastAsia="宋体"/>
          <w:sz w:val="32"/>
          <w:szCs w:val="32"/>
          <w:lang w:val="en-US" w:eastAsia="zh-CN"/>
        </w:rPr>
        <w:t>8</w:t>
      </w:r>
      <w:r>
        <w:rPr>
          <w:rFonts w:hint="eastAsia" w:ascii="宋体" w:eastAsia="宋体"/>
          <w:sz w:val="32"/>
          <w:szCs w:val="32"/>
        </w:rPr>
        <w:t>、</w:t>
      </w:r>
      <w:r>
        <w:rPr>
          <w:rFonts w:hint="eastAsia" w:ascii="宋体" w:eastAsia="宋体"/>
          <w:sz w:val="32"/>
          <w:szCs w:val="32"/>
          <w:lang w:eastAsia="zh-CN"/>
        </w:rPr>
        <w:t>卫生健康</w:t>
      </w:r>
      <w:r>
        <w:rPr>
          <w:rFonts w:hint="eastAsia" w:ascii="宋体" w:eastAsia="宋体"/>
          <w:sz w:val="32"/>
          <w:szCs w:val="32"/>
        </w:rPr>
        <w:t>支出（类）</w:t>
      </w:r>
      <w:r>
        <w:rPr>
          <w:rFonts w:hint="eastAsia" w:ascii="宋体" w:eastAsia="宋体"/>
          <w:sz w:val="32"/>
          <w:szCs w:val="32"/>
          <w:lang w:eastAsia="zh-CN"/>
        </w:rPr>
        <w:t>行政事业单位医疗</w:t>
      </w:r>
      <w:r>
        <w:rPr>
          <w:rFonts w:hint="eastAsia" w:ascii="宋体" w:eastAsia="宋体"/>
          <w:sz w:val="32"/>
          <w:szCs w:val="32"/>
        </w:rPr>
        <w:t>（款）</w:t>
      </w:r>
      <w:r>
        <w:rPr>
          <w:rFonts w:hint="eastAsia" w:ascii="宋体" w:eastAsia="宋体"/>
          <w:sz w:val="32"/>
          <w:szCs w:val="32"/>
          <w:lang w:eastAsia="zh-CN"/>
        </w:rPr>
        <w:t>行政单位医疗</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118.43</w:t>
      </w:r>
      <w:r>
        <w:rPr>
          <w:rFonts w:hint="eastAsia" w:ascii="宋体" w:eastAsia="宋体"/>
          <w:sz w:val="32"/>
          <w:szCs w:val="32"/>
        </w:rPr>
        <w:t>万元，支出决算为</w:t>
      </w:r>
      <w:r>
        <w:rPr>
          <w:rFonts w:hint="eastAsia" w:ascii="宋体" w:eastAsia="宋体"/>
          <w:sz w:val="32"/>
          <w:szCs w:val="32"/>
          <w:lang w:val="en-US" w:eastAsia="zh-CN"/>
        </w:rPr>
        <w:t>171.18</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144.54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宋体" w:eastAsia="宋体"/>
          <w:sz w:val="32"/>
          <w:szCs w:val="32"/>
        </w:rPr>
        <w:t>决算数大于年初预算数的主要原因是：</w:t>
      </w:r>
      <w:r>
        <w:rPr>
          <w:rFonts w:hint="eastAsia" w:ascii="宋体" w:eastAsia="宋体"/>
          <w:sz w:val="32"/>
          <w:szCs w:val="32"/>
          <w:lang w:eastAsia="zh-CN"/>
        </w:rPr>
        <w:t>人员变动引起相应医疗保险缴费变动</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rPr>
        <w:t>2</w:t>
      </w:r>
      <w:r>
        <w:rPr>
          <w:rFonts w:hint="eastAsia" w:ascii="宋体" w:eastAsia="宋体"/>
          <w:sz w:val="32"/>
          <w:szCs w:val="32"/>
          <w:lang w:val="en-US" w:eastAsia="zh-CN"/>
        </w:rPr>
        <w:t>9</w:t>
      </w:r>
      <w:r>
        <w:rPr>
          <w:rFonts w:hint="eastAsia" w:ascii="宋体" w:eastAsia="宋体"/>
          <w:sz w:val="32"/>
          <w:szCs w:val="32"/>
        </w:rPr>
        <w:t>、</w:t>
      </w:r>
      <w:r>
        <w:rPr>
          <w:rFonts w:hint="eastAsia" w:ascii="宋体" w:eastAsia="宋体"/>
          <w:sz w:val="32"/>
          <w:szCs w:val="32"/>
          <w:lang w:eastAsia="zh-CN"/>
        </w:rPr>
        <w:t>卫生健康</w:t>
      </w:r>
      <w:r>
        <w:rPr>
          <w:rFonts w:hint="eastAsia" w:ascii="宋体" w:eastAsia="宋体"/>
          <w:sz w:val="32"/>
          <w:szCs w:val="32"/>
        </w:rPr>
        <w:t>支出（类）</w:t>
      </w:r>
      <w:r>
        <w:rPr>
          <w:rFonts w:hint="eastAsia" w:ascii="宋体" w:eastAsia="宋体"/>
          <w:sz w:val="32"/>
          <w:szCs w:val="32"/>
          <w:lang w:eastAsia="zh-CN"/>
        </w:rPr>
        <w:t>行政事业单位医疗</w:t>
      </w:r>
      <w:r>
        <w:rPr>
          <w:rFonts w:hint="eastAsia" w:ascii="宋体" w:eastAsia="宋体"/>
          <w:sz w:val="32"/>
          <w:szCs w:val="32"/>
        </w:rPr>
        <w:t>（款）</w:t>
      </w:r>
      <w:r>
        <w:rPr>
          <w:rFonts w:hint="eastAsia" w:ascii="宋体" w:eastAsia="宋体"/>
          <w:sz w:val="32"/>
          <w:szCs w:val="32"/>
          <w:lang w:eastAsia="zh-CN"/>
        </w:rPr>
        <w:t>事业单位医疗</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50.57</w:t>
      </w:r>
      <w:r>
        <w:rPr>
          <w:rFonts w:hint="eastAsia" w:ascii="宋体" w:eastAsia="宋体"/>
          <w:sz w:val="32"/>
          <w:szCs w:val="32"/>
        </w:rPr>
        <w:t>万元，支出决算为</w:t>
      </w:r>
      <w:r>
        <w:rPr>
          <w:rFonts w:hint="eastAsia" w:ascii="宋体" w:eastAsia="宋体"/>
          <w:sz w:val="32"/>
          <w:szCs w:val="32"/>
          <w:lang w:val="en-US" w:eastAsia="zh-CN"/>
        </w:rPr>
        <w:t>50.57</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ascii="Times New Roman" w:hAnsi="Times New Roman" w:eastAsia="仿宋_GB2312" w:cs="Times New Roman"/>
          <w:color w:val="auto"/>
          <w:sz w:val="32"/>
          <w:szCs w:val="32"/>
        </w:rPr>
        <w:t>%</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30</w:t>
      </w:r>
      <w:r>
        <w:rPr>
          <w:rFonts w:hint="eastAsia" w:ascii="宋体" w:eastAsia="宋体"/>
          <w:sz w:val="32"/>
          <w:szCs w:val="32"/>
        </w:rPr>
        <w:t>、住房保障支出（类）住房改革支出（款）住房公积金</w:t>
      </w:r>
      <w:r>
        <w:rPr>
          <w:rFonts w:hint="eastAsia" w:ascii="宋体" w:eastAsia="宋体"/>
          <w:sz w:val="32"/>
          <w:szCs w:val="32"/>
          <w:lang w:eastAsia="zh-CN"/>
        </w:rPr>
        <w:t>（</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293.44</w:t>
      </w:r>
      <w:r>
        <w:rPr>
          <w:rFonts w:hint="eastAsia" w:ascii="宋体" w:eastAsia="宋体"/>
          <w:sz w:val="32"/>
          <w:szCs w:val="32"/>
        </w:rPr>
        <w:t>万元，支出决算为</w:t>
      </w:r>
      <w:r>
        <w:rPr>
          <w:rFonts w:hint="eastAsia" w:ascii="宋体" w:eastAsia="宋体"/>
          <w:sz w:val="32"/>
          <w:szCs w:val="32"/>
          <w:lang w:val="en-US" w:eastAsia="zh-CN"/>
        </w:rPr>
        <w:t>293.44</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ascii="Times New Roman" w:hAnsi="Times New Roman" w:eastAsia="仿宋_GB2312" w:cs="Times New Roman"/>
          <w:color w:val="auto"/>
          <w:sz w:val="32"/>
          <w:szCs w:val="32"/>
        </w:rPr>
        <w:t>%</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31、</w:t>
      </w:r>
      <w:r>
        <w:rPr>
          <w:rFonts w:hint="eastAsia" w:ascii="宋体" w:eastAsia="宋体"/>
          <w:sz w:val="32"/>
          <w:szCs w:val="32"/>
          <w:lang w:eastAsia="zh-CN"/>
        </w:rPr>
        <w:t>其他</w:t>
      </w:r>
      <w:r>
        <w:rPr>
          <w:rFonts w:hint="eastAsia" w:ascii="宋体" w:eastAsia="宋体"/>
          <w:sz w:val="32"/>
          <w:szCs w:val="32"/>
        </w:rPr>
        <w:t>支出（类）</w:t>
      </w:r>
      <w:r>
        <w:rPr>
          <w:rFonts w:hint="eastAsia" w:ascii="宋体" w:eastAsia="宋体"/>
          <w:sz w:val="32"/>
          <w:szCs w:val="32"/>
          <w:lang w:eastAsia="zh-CN"/>
        </w:rPr>
        <w:t>其他</w:t>
      </w:r>
      <w:r>
        <w:rPr>
          <w:rFonts w:hint="eastAsia" w:ascii="宋体" w:eastAsia="宋体"/>
          <w:sz w:val="32"/>
          <w:szCs w:val="32"/>
        </w:rPr>
        <w:t>支出（款）</w:t>
      </w:r>
      <w:r>
        <w:rPr>
          <w:rFonts w:hint="eastAsia" w:ascii="宋体" w:eastAsia="宋体"/>
          <w:sz w:val="32"/>
          <w:szCs w:val="32"/>
          <w:lang w:eastAsia="zh-CN"/>
        </w:rPr>
        <w:t>其他（</w:t>
      </w:r>
      <w:r>
        <w:rPr>
          <w:rFonts w:hint="eastAsia" w:ascii="宋体" w:eastAsia="宋体"/>
          <w:sz w:val="32"/>
          <w:szCs w:val="32"/>
        </w:rPr>
        <w:t>项）。</w:t>
      </w:r>
    </w:p>
    <w:p>
      <w:pPr>
        <w:pStyle w:val="9"/>
        <w:ind w:firstLine="800" w:firstLineChars="250"/>
        <w:rPr>
          <w:rFonts w:hint="eastAsia" w:ascii="宋体" w:eastAsia="宋体"/>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0</w:t>
      </w:r>
      <w:r>
        <w:rPr>
          <w:rFonts w:hint="eastAsia" w:ascii="宋体" w:eastAsia="宋体"/>
          <w:sz w:val="32"/>
          <w:szCs w:val="32"/>
        </w:rPr>
        <w:t>万元，支出决算为</w:t>
      </w:r>
      <w:r>
        <w:rPr>
          <w:rFonts w:hint="eastAsia" w:ascii="宋体" w:eastAsia="宋体"/>
          <w:sz w:val="32"/>
          <w:szCs w:val="32"/>
          <w:lang w:val="en-US" w:eastAsia="zh-CN"/>
        </w:rPr>
        <w:t>40.86</w:t>
      </w:r>
      <w:r>
        <w:rPr>
          <w:rFonts w:hint="eastAsia" w:ascii="宋体" w:eastAsia="宋体"/>
          <w:sz w:val="32"/>
          <w:szCs w:val="32"/>
        </w:rPr>
        <w:t>万元，</w:t>
      </w:r>
      <w:r>
        <w:rPr>
          <w:rFonts w:hint="eastAsia" w:ascii="宋体" w:eastAsia="宋体"/>
          <w:color w:val="auto"/>
          <w:sz w:val="32"/>
          <w:szCs w:val="32"/>
        </w:rPr>
        <w:t>决算</w:t>
      </w:r>
      <w:r>
        <w:rPr>
          <w:rFonts w:hint="eastAsia" w:ascii="宋体" w:eastAsia="宋体"/>
          <w:sz w:val="32"/>
          <w:szCs w:val="32"/>
        </w:rPr>
        <w:t>数</w:t>
      </w:r>
      <w:r>
        <w:rPr>
          <w:rFonts w:hint="eastAsia" w:ascii="宋体" w:eastAsia="宋体"/>
          <w:sz w:val="32"/>
          <w:szCs w:val="32"/>
          <w:lang w:eastAsia="zh-CN"/>
        </w:rPr>
        <w:t>大</w:t>
      </w:r>
      <w:r>
        <w:rPr>
          <w:rFonts w:hint="eastAsia" w:ascii="宋体" w:eastAsia="宋体"/>
          <w:sz w:val="32"/>
          <w:szCs w:val="32"/>
        </w:rPr>
        <w:t>于年初预算数的主要原因是：</w:t>
      </w:r>
      <w:r>
        <w:rPr>
          <w:rFonts w:hint="eastAsia" w:ascii="宋体" w:eastAsia="宋体"/>
          <w:sz w:val="32"/>
          <w:szCs w:val="32"/>
          <w:lang w:eastAsia="zh-CN"/>
        </w:rPr>
        <w:t>财政追加各项业务工作经费。</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宋体" w:eastAsia="宋体"/>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5823.22</w:t>
      </w:r>
      <w:r>
        <w:rPr>
          <w:rFonts w:hint="eastAsia" w:asciiTheme="minorEastAsia" w:hAnsiTheme="minorEastAsia" w:eastAsiaTheme="minorEastAsia"/>
          <w:sz w:val="32"/>
          <w:szCs w:val="32"/>
        </w:rPr>
        <w:t>万元，其中：</w:t>
      </w:r>
      <w:r>
        <w:rPr>
          <w:rFonts w:hint="eastAsia" w:ascii="宋体" w:eastAsia="宋体"/>
          <w:sz w:val="32"/>
          <w:szCs w:val="32"/>
        </w:rPr>
        <w:t>其中：人员经费</w:t>
      </w:r>
      <w:r>
        <w:rPr>
          <w:rFonts w:hint="eastAsia" w:ascii="宋体" w:eastAsia="宋体"/>
          <w:sz w:val="32"/>
          <w:szCs w:val="32"/>
          <w:lang w:val="en-US" w:eastAsia="zh-CN"/>
        </w:rPr>
        <w:t>4973.09</w:t>
      </w:r>
      <w:r>
        <w:rPr>
          <w:rFonts w:hint="eastAsia" w:ascii="宋体" w:eastAsia="宋体"/>
          <w:sz w:val="32"/>
          <w:szCs w:val="32"/>
        </w:rPr>
        <w:t>万元，占基本支出的8</w:t>
      </w:r>
      <w:r>
        <w:rPr>
          <w:rFonts w:hint="eastAsia" w:ascii="宋体" w:eastAsia="宋体"/>
          <w:sz w:val="32"/>
          <w:szCs w:val="32"/>
          <w:lang w:val="en-US" w:eastAsia="zh-CN"/>
        </w:rPr>
        <w:t>5.40</w:t>
      </w:r>
      <w:r>
        <w:rPr>
          <w:rFonts w:hint="eastAsia" w:ascii="宋体" w:eastAsia="宋体"/>
          <w:sz w:val="32"/>
          <w:szCs w:val="32"/>
        </w:rPr>
        <w:t>%,主要包括基本工资、津贴补贴、奖金、伙食补助费、绩效工资、机关事业单位基本养老保险缴费、职工基本医疗保险缴费、其他社会保障缴费、住房公积金、其他工资福利支出、抚恤金、奖励金、其他对个人和家庭的补助等；公用经费</w:t>
      </w:r>
      <w:r>
        <w:rPr>
          <w:rFonts w:hint="eastAsia" w:ascii="宋体" w:eastAsia="宋体"/>
          <w:sz w:val="32"/>
          <w:szCs w:val="32"/>
          <w:lang w:val="en-US" w:eastAsia="zh-CN"/>
        </w:rPr>
        <w:t>850.13</w:t>
      </w:r>
      <w:r>
        <w:rPr>
          <w:rFonts w:hint="eastAsia" w:ascii="宋体" w:eastAsia="宋体"/>
          <w:sz w:val="32"/>
          <w:szCs w:val="32"/>
        </w:rPr>
        <w:t>万元，占基本支出的1</w:t>
      </w:r>
      <w:r>
        <w:rPr>
          <w:rFonts w:hint="eastAsia" w:ascii="宋体" w:eastAsia="宋体"/>
          <w:sz w:val="32"/>
          <w:szCs w:val="32"/>
          <w:lang w:val="en-US" w:eastAsia="zh-CN"/>
        </w:rPr>
        <w:t>4.60</w:t>
      </w:r>
      <w:r>
        <w:rPr>
          <w:rFonts w:hint="eastAsia" w:ascii="宋体" w:eastAsia="宋体"/>
          <w:sz w:val="32"/>
          <w:szCs w:val="32"/>
        </w:rPr>
        <w:t>%，主要包括办公费、印刷费、手续费、水费、电费、物业管理费、差旅费、维修费、租赁费、会议费、培训费、公务接待费、专用材料费、劳务费、委托业务费、工会经费、福利费、公务用车运行维护费、其他交通费用、其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183.70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25.88</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91.70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13.01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14.19</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w:t>
      </w:r>
      <w:r>
        <w:rPr>
          <w:rFonts w:hint="eastAsia" w:ascii="宋体" w:eastAsia="宋体"/>
          <w:sz w:val="32"/>
          <w:szCs w:val="32"/>
        </w:rPr>
        <w:t>严格遵照中央“八项规定”和财经纪律，</w:t>
      </w:r>
      <w:r>
        <w:rPr>
          <w:rFonts w:hint="eastAsia" w:ascii="宋体" w:eastAsia="宋体"/>
          <w:sz w:val="32"/>
          <w:szCs w:val="32"/>
          <w:lang w:eastAsia="zh-CN"/>
        </w:rPr>
        <w:t>严格控制</w:t>
      </w:r>
      <w:r>
        <w:rPr>
          <w:rFonts w:hint="eastAsia" w:ascii="宋体" w:eastAsia="宋体"/>
          <w:sz w:val="32"/>
          <w:szCs w:val="32"/>
        </w:rPr>
        <w:t>接待人次</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3.52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36.74</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本年新合并进</w:t>
      </w:r>
      <w:r>
        <w:rPr>
          <w:rFonts w:hint="eastAsia" w:asciiTheme="minorEastAsia" w:hAnsiTheme="minorEastAsia" w:eastAsiaTheme="minorEastAsia"/>
          <w:sz w:val="32"/>
          <w:szCs w:val="32"/>
          <w:lang w:val="en-US" w:eastAsia="zh-CN"/>
        </w:rPr>
        <w:t>3个单位，省局、县市局来人接待人次略有增加</w:t>
      </w:r>
      <w:r>
        <w:rPr>
          <w:rFonts w:hint="eastAsia" w:asciiTheme="minorEastAsia" w:hAnsiTheme="minorEastAsia" w:eastAsiaTheme="minorEastAsia"/>
          <w:sz w:val="32"/>
          <w:szCs w:val="32"/>
        </w:rPr>
        <w:t>。</w:t>
      </w:r>
    </w:p>
    <w:p>
      <w:pPr>
        <w:pStyle w:val="9"/>
        <w:ind w:firstLine="640" w:firstLineChars="200"/>
        <w:rPr>
          <w:rFonts w:hint="eastAsia" w:eastAsia="宋体" w:asciiTheme="minorEastAsia" w:hAnsiTheme="minorEastAsia"/>
          <w:sz w:val="32"/>
          <w:szCs w:val="32"/>
          <w:lang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34.54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37.54</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w:t>
      </w:r>
      <w:r>
        <w:rPr>
          <w:rFonts w:hint="eastAsia" w:ascii="宋体" w:eastAsia="宋体"/>
          <w:sz w:val="32"/>
          <w:szCs w:val="32"/>
        </w:rPr>
        <w:t>新车维修费减少</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21.52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38.39</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w:t>
      </w:r>
      <w:r>
        <w:rPr>
          <w:rFonts w:hint="eastAsia" w:ascii="宋体" w:eastAsia="宋体"/>
          <w:sz w:val="32"/>
          <w:szCs w:val="32"/>
        </w:rPr>
        <w:t>新车维修费减少</w:t>
      </w:r>
      <w:r>
        <w:rPr>
          <w:rFonts w:hint="eastAsia" w:ascii="宋体" w:eastAsia="宋体"/>
          <w:sz w:val="32"/>
          <w:szCs w:val="32"/>
          <w:lang w:eastAsia="zh-CN"/>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13.01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27.36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34.54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72.64</w:t>
      </w:r>
      <w:r>
        <w:rPr>
          <w:rFonts w:hint="eastAsia" w:asciiTheme="minorEastAsia" w:hAnsiTheme="minorEastAsia" w:eastAsiaTheme="minorEastAsia"/>
          <w:sz w:val="32"/>
          <w:szCs w:val="32"/>
        </w:rPr>
        <w:t>%。其中：</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13.01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1092</w:t>
      </w:r>
      <w:r>
        <w:rPr>
          <w:rFonts w:hint="eastAsia" w:asciiTheme="minorEastAsia" w:hAnsiTheme="minorEastAsia" w:eastAsiaTheme="minorEastAsia"/>
          <w:sz w:val="32"/>
          <w:szCs w:val="32"/>
        </w:rPr>
        <w:t>人次，主要是</w:t>
      </w:r>
      <w:r>
        <w:rPr>
          <w:rFonts w:hint="eastAsia" w:ascii="宋体" w:eastAsia="宋体"/>
          <w:sz w:val="32"/>
          <w:szCs w:val="32"/>
        </w:rPr>
        <w:t>省局及其他地区等来人检查等发生的接待支出</w:t>
      </w:r>
      <w:r>
        <w:rPr>
          <w:rFonts w:hint="eastAsia" w:asciiTheme="minorEastAsia" w:hAnsiTheme="minorEastAsia" w:eastAsiaTheme="minorEastAsia"/>
          <w:sz w:val="32"/>
          <w:szCs w:val="32"/>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34.54</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单位本级</w:t>
      </w:r>
      <w:r>
        <w:rPr>
          <w:rFonts w:hint="eastAsia" w:asciiTheme="minorEastAsia" w:hAnsiTheme="minorEastAsia"/>
          <w:sz w:val="32"/>
          <w:szCs w:val="32"/>
          <w:lang w:eastAsia="zh-CN"/>
        </w:rPr>
        <w:t>及</w:t>
      </w:r>
      <w:r>
        <w:rPr>
          <w:rFonts w:hint="eastAsia" w:asciiTheme="minorEastAsia" w:hAnsiTheme="minorEastAsia"/>
          <w:sz w:val="32"/>
          <w:szCs w:val="32"/>
        </w:rPr>
        <w:t>二级机构更新公务用车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34.54</w:t>
      </w:r>
      <w:r>
        <w:rPr>
          <w:rFonts w:hint="eastAsia" w:asciiTheme="minorEastAsia" w:hAnsiTheme="minorEastAsia"/>
          <w:sz w:val="32"/>
          <w:szCs w:val="32"/>
        </w:rPr>
        <w:t>万元，主要是</w:t>
      </w:r>
      <w:r>
        <w:rPr>
          <w:rFonts w:hint="eastAsia" w:ascii="宋体" w:hAnsi="宋体"/>
          <w:sz w:val="32"/>
          <w:szCs w:val="32"/>
        </w:rPr>
        <w:t>主要是公务车辆燃油费、维修费、通行费、洗车停车费等</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19</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政府性基金预算收入</w:t>
      </w:r>
      <w:r>
        <w:rPr>
          <w:rFonts w:hint="eastAsia" w:asciiTheme="minorEastAsia" w:hAnsiTheme="minorEastAsia" w:eastAsiaTheme="minorEastAsia"/>
          <w:sz w:val="32"/>
          <w:szCs w:val="32"/>
          <w:lang w:eastAsia="zh-CN"/>
        </w:rPr>
        <w:t>。</w:t>
      </w:r>
    </w:p>
    <w:p>
      <w:pPr>
        <w:pStyle w:val="9"/>
        <w:numPr>
          <w:ilvl w:val="0"/>
          <w:numId w:val="0"/>
        </w:numPr>
        <w:spacing w:line="500" w:lineRule="exact"/>
        <w:rPr>
          <w:rFonts w:hint="eastAsia" w:hAnsi="黑体" w:cs="黑体"/>
          <w:sz w:val="32"/>
          <w:szCs w:val="32"/>
          <w:lang w:val="en-US" w:eastAsia="zh-CN"/>
        </w:rPr>
      </w:pPr>
      <w:r>
        <w:rPr>
          <w:rFonts w:hint="eastAsia" w:hAnsi="黑体" w:cs="黑体"/>
          <w:sz w:val="32"/>
          <w:szCs w:val="32"/>
          <w:lang w:val="en-US" w:eastAsia="zh-CN"/>
        </w:rPr>
        <w:t>九、</w:t>
      </w:r>
      <w:r>
        <w:rPr>
          <w:rFonts w:hint="eastAsia" w:ascii="黑体" w:hAnsi="黑体" w:eastAsia="黑体" w:cs="黑体"/>
          <w:sz w:val="32"/>
          <w:szCs w:val="32"/>
        </w:rPr>
        <w:t>国有资本经营预算支出决算</w:t>
      </w:r>
      <w:r>
        <w:rPr>
          <w:rFonts w:hint="eastAsia" w:hAnsi="黑体" w:cs="黑体"/>
          <w:sz w:val="32"/>
          <w:szCs w:val="32"/>
          <w:lang w:val="en-US" w:eastAsia="zh-CN"/>
        </w:rPr>
        <w:t>情况</w:t>
      </w:r>
    </w:p>
    <w:p>
      <w:pPr>
        <w:pStyle w:val="9"/>
        <w:ind w:firstLine="640"/>
        <w:rPr>
          <w:rFonts w:hint="eastAsia" w:eastAsia="宋体 (正文)" w:asciiTheme="minorEastAsia" w:hAnsiTheme="minorEastAsia"/>
          <w:i/>
          <w:color w:val="FF0000"/>
          <w:sz w:val="32"/>
          <w:szCs w:val="32"/>
          <w:lang w:eastAsia="zh-CN"/>
        </w:rPr>
      </w:pPr>
      <w:r>
        <w:rPr>
          <w:rFonts w:hint="eastAsia" w:ascii="宋体 (正文)" w:hAnsi="宋体 (正文)" w:eastAsia="宋体 (正文)" w:cs="宋体 (正文)"/>
          <w:sz w:val="32"/>
          <w:szCs w:val="32"/>
          <w:lang w:val="en-US" w:eastAsia="zh-CN"/>
        </w:rPr>
        <w:t>2020年度本单位无</w:t>
      </w:r>
      <w:r>
        <w:rPr>
          <w:rFonts w:hint="eastAsia" w:ascii="宋体 (正文)" w:hAnsi="宋体 (正文)" w:eastAsia="宋体 (正文)" w:cs="宋体 (正文)"/>
          <w:sz w:val="32"/>
          <w:szCs w:val="32"/>
        </w:rPr>
        <w:t>国有资本经营预算</w:t>
      </w:r>
      <w:r>
        <w:rPr>
          <w:rFonts w:hint="eastAsia" w:ascii="宋体 (正文)" w:hAnsi="宋体 (正文)" w:eastAsia="宋体 (正文)" w:cs="宋体 (正文)"/>
          <w:sz w:val="32"/>
          <w:szCs w:val="32"/>
          <w:lang w:val="en-US" w:eastAsia="zh-CN"/>
        </w:rPr>
        <w:t>收入。</w:t>
      </w:r>
    </w:p>
    <w:p>
      <w:pPr>
        <w:pStyle w:val="9"/>
        <w:rPr>
          <w:rFonts w:hAnsi="黑体"/>
          <w:b/>
          <w:sz w:val="32"/>
          <w:szCs w:val="32"/>
        </w:rPr>
      </w:pPr>
      <w:r>
        <w:rPr>
          <w:rFonts w:hint="eastAsia" w:ascii="黑体" w:hAnsi="黑体" w:eastAsia="黑体" w:cs="黑体"/>
          <w:i/>
          <w:color w:val="000000" w:themeColor="text1"/>
          <w:sz w:val="32"/>
          <w:szCs w:val="32"/>
          <w:lang w:val="en-US" w:eastAsia="zh-CN"/>
          <w14:textFill>
            <w14:solidFill>
              <w14:schemeClr w14:val="tx1"/>
            </w14:solidFill>
          </w14:textFill>
        </w:rPr>
        <w:t>十、</w:t>
      </w:r>
      <w:r>
        <w:rPr>
          <w:rFonts w:hint="eastAsia" w:hAnsi="黑体"/>
          <w:b/>
          <w:sz w:val="32"/>
          <w:szCs w:val="32"/>
        </w:rPr>
        <w:t>关于2020年度预算绩效情况的说明</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宋体" w:hAnsi="宋体"/>
          <w:color w:val="000000"/>
          <w:kern w:val="0"/>
          <w:sz w:val="32"/>
          <w:szCs w:val="32"/>
        </w:rPr>
      </w:pPr>
      <w:r>
        <w:rPr>
          <w:rFonts w:hint="eastAsia" w:cs="黑体" w:asciiTheme="minorEastAsia" w:hAnsiTheme="minorEastAsia" w:eastAsiaTheme="minorEastAsia"/>
          <w:color w:val="000000"/>
          <w:kern w:val="0"/>
          <w:sz w:val="32"/>
          <w:szCs w:val="32"/>
          <w:lang w:val="en-US" w:eastAsia="zh-CN" w:bidi="ar-SA"/>
        </w:rPr>
        <w:t>根据《湘西州财政局关于开展2020年度州直预算部门（单位）整体支出绩效自评工作的通知》（州财绩〔2021〕8</w:t>
      </w:r>
      <w:r>
        <w:rPr>
          <w:rFonts w:hint="eastAsia" w:ascii="宋体" w:hAnsi="宋体" w:cs="仿宋_GB2312"/>
          <w:sz w:val="32"/>
          <w:szCs w:val="32"/>
        </w:rPr>
        <w:t>号）等文件的要求，本单位于202</w:t>
      </w:r>
      <w:r>
        <w:rPr>
          <w:rFonts w:hint="eastAsia" w:ascii="宋体" w:hAnsi="宋体" w:cs="仿宋_GB2312"/>
          <w:sz w:val="32"/>
          <w:szCs w:val="32"/>
          <w:lang w:val="en-US" w:eastAsia="zh-CN"/>
        </w:rPr>
        <w:t>1</w:t>
      </w:r>
      <w:r>
        <w:rPr>
          <w:rFonts w:hint="eastAsia" w:ascii="宋体" w:hAnsi="宋体" w:cs="仿宋_GB2312"/>
          <w:sz w:val="32"/>
          <w:szCs w:val="32"/>
        </w:rPr>
        <w:t>年5月至6月，组织力量对本单位的部门预算整体支出进行了绩效评价，本次评价遵循了“科学规范、公正公开、分类管理、绩效相关”的原则，运用科学、合理的绩效评价指标、评价标准和评价方法，对本单位20</w:t>
      </w:r>
      <w:r>
        <w:rPr>
          <w:rFonts w:hint="eastAsia" w:ascii="宋体" w:hAnsi="宋体" w:cs="仿宋_GB2312"/>
          <w:sz w:val="32"/>
          <w:szCs w:val="32"/>
          <w:lang w:val="en-US" w:eastAsia="zh-CN"/>
        </w:rPr>
        <w:t>20</w:t>
      </w:r>
      <w:r>
        <w:rPr>
          <w:rFonts w:hint="eastAsia" w:ascii="宋体" w:hAnsi="宋体" w:cs="仿宋_GB2312"/>
          <w:sz w:val="32"/>
          <w:szCs w:val="32"/>
        </w:rPr>
        <w:t>年度部门整体支出的绩效情况进行客观、公正的评价。</w:t>
      </w:r>
      <w:r>
        <w:rPr>
          <w:rFonts w:hint="eastAsia" w:ascii="宋体" w:hAnsi="宋体" w:cs="仿宋_GB2312"/>
          <w:color w:val="000000"/>
          <w:kern w:val="0"/>
          <w:sz w:val="32"/>
          <w:szCs w:val="32"/>
        </w:rPr>
        <w:t>20</w:t>
      </w:r>
      <w:r>
        <w:rPr>
          <w:rFonts w:hint="eastAsia" w:ascii="宋体" w:hAnsi="宋体" w:cs="仿宋_GB2312"/>
          <w:color w:val="000000"/>
          <w:kern w:val="0"/>
          <w:sz w:val="32"/>
          <w:szCs w:val="32"/>
          <w:lang w:val="en-US" w:eastAsia="zh-CN"/>
        </w:rPr>
        <w:t>20</w:t>
      </w:r>
      <w:r>
        <w:rPr>
          <w:rFonts w:hint="eastAsia" w:ascii="宋体" w:hAnsi="宋体" w:cs="仿宋_GB2312"/>
          <w:color w:val="000000"/>
          <w:kern w:val="0"/>
          <w:sz w:val="32"/>
          <w:szCs w:val="32"/>
        </w:rPr>
        <w:t>年度本单位绩效整体目标：履行行政执法职能、维护社会经济良好秩序；打击假冒伪劣商品、维护消费者合法权益；加强特种设备监管，防范特种设备安全事故发生</w:t>
      </w:r>
      <w:r>
        <w:rPr>
          <w:rFonts w:hint="eastAsia" w:ascii="宋体" w:hAnsi="宋体" w:cs="仿宋_GB2312"/>
          <w:color w:val="000000"/>
          <w:kern w:val="0"/>
          <w:sz w:val="32"/>
          <w:szCs w:val="32"/>
          <w:lang w:eastAsia="zh-CN"/>
        </w:rPr>
        <w:t>；</w:t>
      </w:r>
      <w:r>
        <w:rPr>
          <w:rFonts w:hint="eastAsia" w:ascii="宋体" w:hAnsi="宋体" w:cs="仿宋_GB2312"/>
          <w:color w:val="000000"/>
          <w:kern w:val="0"/>
          <w:sz w:val="32"/>
          <w:szCs w:val="32"/>
        </w:rPr>
        <w:t>逐步推进质量提升、严守安全监管底线；</w:t>
      </w:r>
      <w:r>
        <w:rPr>
          <w:rFonts w:hint="eastAsia" w:ascii="宋体" w:hAnsi="宋体"/>
          <w:color w:val="000000"/>
          <w:kern w:val="0"/>
          <w:sz w:val="32"/>
          <w:szCs w:val="32"/>
        </w:rPr>
        <w:t>确保人民饮食、用药用械安全有效，查处和打击食药安全监管工作中的违法犯罪行为。实际完成情况为：</w:t>
      </w:r>
      <w:r>
        <w:rPr>
          <w:rFonts w:hint="eastAsia" w:ascii="宋体" w:hAnsi="宋体" w:cs="仿宋_GB2312"/>
          <w:color w:val="000000"/>
          <w:kern w:val="0"/>
          <w:sz w:val="32"/>
          <w:szCs w:val="32"/>
        </w:rPr>
        <w:t>严厉打击重点防疫物资和重要民生商品领域哄抬物价、囤积居奇等违法行为，严查民生领域价费违法行为，共查处价格违法案件21件, 全面维护市场秩序;全州申报知识产权专项项目21个，获批立项11个，申请专利1017件，申请国外专利（PCT)3件，实现零的突破</w:t>
      </w:r>
      <w:r>
        <w:rPr>
          <w:rFonts w:hint="eastAsia" w:ascii="宋体" w:hAnsi="宋体" w:cs="仿宋_GB2312"/>
          <w:color w:val="000000"/>
          <w:kern w:val="0"/>
          <w:sz w:val="32"/>
          <w:szCs w:val="32"/>
          <w:lang w:eastAsia="zh-CN"/>
        </w:rPr>
        <w:t>；</w:t>
      </w:r>
      <w:r>
        <w:rPr>
          <w:rFonts w:hint="eastAsia" w:ascii="宋体" w:hAnsi="宋体" w:cs="仿宋_GB2312"/>
          <w:color w:val="000000"/>
          <w:kern w:val="0"/>
          <w:sz w:val="32"/>
          <w:szCs w:val="32"/>
        </w:rPr>
        <w:t>严抓产品质量安全，严守特种设备安全，标准化战略实施有序推进，质量强州深入推进。开展特种设备安全专项治理，共检查企业721家，检查设备5587台，排查治理安全隐患870台</w:t>
      </w:r>
      <w:r>
        <w:rPr>
          <w:rFonts w:hint="eastAsia" w:ascii="宋体" w:hAnsi="宋体" w:cs="仿宋_GB2312"/>
          <w:color w:val="000000"/>
          <w:kern w:val="0"/>
          <w:sz w:val="32"/>
          <w:szCs w:val="32"/>
          <w:lang w:eastAsia="zh-CN"/>
        </w:rPr>
        <w:t>；</w:t>
      </w:r>
      <w:r>
        <w:rPr>
          <w:rFonts w:hint="eastAsia" w:ascii="宋体" w:hAnsi="宋体" w:cs="仿宋_GB2312"/>
          <w:color w:val="000000"/>
          <w:kern w:val="0"/>
          <w:sz w:val="32"/>
          <w:szCs w:val="32"/>
        </w:rPr>
        <w:t>严格加强相关防治药品、试剂、医疗器械及防护用品和特殊食品等物资的质量监管工作。全面加强食品生产经营检查抽查，精准防控食品安全风险隐患，确保群众“菜篮子”、“米袋子”的绝对安全，实现了湘西疫情防护物资生产企业零的突破，全州未发生源发性、系统性、区域性的食品药品安全事故。</w:t>
      </w:r>
      <w:r>
        <w:rPr>
          <w:rFonts w:hint="eastAsia" w:ascii="宋体" w:hAnsi="宋体" w:cs="仿宋"/>
          <w:color w:val="000000"/>
          <w:kern w:val="0"/>
          <w:sz w:val="32"/>
          <w:szCs w:val="32"/>
        </w:rPr>
        <w:t>评价指标得分为“良好”。</w:t>
      </w:r>
      <w:r>
        <w:rPr>
          <w:rFonts w:hint="eastAsia" w:ascii="宋体" w:hAnsi="宋体"/>
          <w:color w:val="000000"/>
          <w:kern w:val="0"/>
          <w:sz w:val="32"/>
          <w:szCs w:val="32"/>
        </w:rPr>
        <w:t>本次绩效评价结果已按相关规定在单位门户网站上予以公开。</w:t>
      </w:r>
    </w:p>
    <w:p>
      <w:pPr>
        <w:pStyle w:val="9"/>
        <w:rPr>
          <w:rFonts w:hint="default" w:ascii="黑体" w:hAnsi="黑体" w:eastAsia="黑体" w:cs="黑体"/>
          <w:b/>
          <w:bCs/>
          <w:i/>
          <w:color w:val="000000" w:themeColor="text1"/>
          <w:sz w:val="32"/>
          <w:szCs w:val="32"/>
          <w:lang w:val="en-US" w:eastAsia="zh-CN"/>
          <w14:textFill>
            <w14:solidFill>
              <w14:schemeClr w14:val="tx1"/>
            </w14:solidFill>
          </w14:textFill>
        </w:rPr>
      </w:pPr>
      <w:r>
        <w:rPr>
          <w:rFonts w:hint="eastAsia" w:ascii="黑体" w:hAnsi="黑体" w:eastAsia="黑体" w:cs="黑体"/>
          <w:b/>
          <w:bCs/>
          <w:i/>
          <w:color w:val="000000" w:themeColor="text1"/>
          <w:sz w:val="32"/>
          <w:szCs w:val="32"/>
          <w:lang w:val="en-US" w:eastAsia="zh-CN"/>
          <w14:textFill>
            <w14:solidFill>
              <w14:schemeClr w14:val="tx1"/>
            </w14:solidFill>
          </w14:textFill>
        </w:rPr>
        <w:t>十一、</w:t>
      </w:r>
      <w:r>
        <w:rPr>
          <w:rFonts w:hint="eastAsia" w:hAnsi="黑体" w:cs="黑体"/>
          <w:b/>
          <w:bCs/>
          <w:i/>
          <w:color w:val="000000" w:themeColor="text1"/>
          <w:sz w:val="32"/>
          <w:szCs w:val="32"/>
          <w:lang w:val="en-US" w:eastAsia="zh-CN"/>
          <w14:textFill>
            <w14:solidFill>
              <w14:schemeClr w14:val="tx1"/>
            </w14:solidFill>
          </w14:textFill>
        </w:rPr>
        <w:t>其他重要事项情况说明</w:t>
      </w:r>
    </w:p>
    <w:p>
      <w:pPr>
        <w:pStyle w:val="9"/>
        <w:rPr>
          <w:rFonts w:hint="eastAsia" w:hAnsi="黑体" w:eastAsia="黑体"/>
          <w:b/>
          <w:sz w:val="32"/>
          <w:szCs w:val="32"/>
          <w:lang w:eastAsia="zh-CN"/>
        </w:rPr>
      </w:pPr>
      <w:r>
        <w:rPr>
          <w:rFonts w:hint="eastAsia" w:hAnsi="黑体"/>
          <w:b/>
          <w:sz w:val="32"/>
          <w:szCs w:val="32"/>
          <w:lang w:val="en-US" w:eastAsia="zh-CN"/>
        </w:rPr>
        <w:t xml:space="preserve">    （一）</w:t>
      </w:r>
      <w:r>
        <w:rPr>
          <w:rFonts w:hint="eastAsia" w:hAnsi="黑体"/>
          <w:b/>
          <w:sz w:val="32"/>
          <w:szCs w:val="32"/>
        </w:rPr>
        <w:t>关于机关运行经费支出</w:t>
      </w:r>
      <w:r>
        <w:rPr>
          <w:rFonts w:hint="eastAsia" w:hAnsi="黑体"/>
          <w:b/>
          <w:sz w:val="32"/>
          <w:szCs w:val="32"/>
          <w:lang w:val="en-US" w:eastAsia="zh-CN"/>
        </w:rPr>
        <w:t>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716.14</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67.78</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8.65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机构改革</w:t>
      </w:r>
      <w:r>
        <w:rPr>
          <w:rFonts w:hint="eastAsia" w:asciiTheme="minorEastAsia" w:hAnsiTheme="minorEastAsia" w:eastAsiaTheme="minorEastAsia"/>
          <w:sz w:val="32"/>
          <w:szCs w:val="32"/>
        </w:rPr>
        <w:t>合并后厉行节约，机关运行经费减少。</w:t>
      </w:r>
    </w:p>
    <w:p>
      <w:pPr>
        <w:pStyle w:val="9"/>
        <w:ind w:firstLine="640" w:firstLineChars="200"/>
        <w:rPr>
          <w:rFonts w:hAnsi="黑体"/>
          <w:b/>
          <w:sz w:val="32"/>
          <w:szCs w:val="32"/>
        </w:rPr>
      </w:pPr>
      <w:r>
        <w:rPr>
          <w:rFonts w:hint="eastAsia" w:hAnsi="黑体"/>
          <w:b/>
          <w:sz w:val="32"/>
          <w:szCs w:val="32"/>
          <w:lang w:eastAsia="zh-CN"/>
        </w:rPr>
        <w:t>（</w:t>
      </w:r>
      <w:r>
        <w:rPr>
          <w:rFonts w:hint="eastAsia" w:hAnsi="黑体"/>
          <w:b/>
          <w:sz w:val="32"/>
          <w:szCs w:val="32"/>
          <w:lang w:val="en-US" w:eastAsia="zh-CN"/>
        </w:rPr>
        <w:t>二</w:t>
      </w:r>
      <w:r>
        <w:rPr>
          <w:rFonts w:hint="eastAsia" w:hAnsi="黑体"/>
          <w:b/>
          <w:sz w:val="32"/>
          <w:szCs w:val="32"/>
          <w:lang w:eastAsia="zh-CN"/>
        </w:rPr>
        <w:t>）</w:t>
      </w:r>
      <w:r>
        <w:rPr>
          <w:rFonts w:hint="eastAsia" w:hAnsi="黑体"/>
          <w:b/>
          <w:sz w:val="32"/>
          <w:szCs w:val="32"/>
        </w:rPr>
        <w:t>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万元，用于召开州局</w:t>
      </w:r>
      <w:r>
        <w:rPr>
          <w:rFonts w:hint="eastAsia" w:asciiTheme="minorEastAsia" w:hAnsiTheme="minorEastAsia" w:eastAsiaTheme="minorEastAsia"/>
          <w:sz w:val="32"/>
          <w:szCs w:val="32"/>
          <w:lang w:eastAsia="zh-CN"/>
        </w:rPr>
        <w:t>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350</w:t>
      </w:r>
      <w:r>
        <w:rPr>
          <w:rFonts w:hint="eastAsia" w:asciiTheme="minorEastAsia" w:hAnsiTheme="minorEastAsia" w:eastAsiaTheme="minorEastAsia"/>
          <w:sz w:val="32"/>
          <w:szCs w:val="32"/>
        </w:rPr>
        <w:t>人，内容为州局</w:t>
      </w:r>
      <w:r>
        <w:rPr>
          <w:rFonts w:hint="eastAsia" w:asciiTheme="minorEastAsia" w:hAnsiTheme="minorEastAsia" w:eastAsiaTheme="minorEastAsia"/>
          <w:sz w:val="32"/>
          <w:szCs w:val="32"/>
          <w:lang w:eastAsia="zh-CN"/>
        </w:rPr>
        <w:t>务虚会：</w:t>
      </w:r>
      <w:r>
        <w:rPr>
          <w:rFonts w:hint="eastAsia" w:asciiTheme="minorEastAsia" w:hAnsiTheme="minorEastAsia" w:eastAsiaTheme="minorEastAsia"/>
          <w:sz w:val="32"/>
          <w:szCs w:val="32"/>
          <w:lang w:val="en-US" w:eastAsia="zh-CN"/>
        </w:rPr>
        <w:t>总结上年工作、</w:t>
      </w:r>
      <w:r>
        <w:rPr>
          <w:rFonts w:hint="eastAsia" w:asciiTheme="minorEastAsia" w:hAnsiTheme="minorEastAsia" w:eastAsiaTheme="minorEastAsia"/>
          <w:sz w:val="32"/>
          <w:szCs w:val="32"/>
        </w:rPr>
        <w:t>安排部署本年工作</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第</w:t>
      </w:r>
      <w:r>
        <w:rPr>
          <w:rFonts w:hint="eastAsia" w:asciiTheme="minorEastAsia" w:hAnsiTheme="minorEastAsia" w:eastAsiaTheme="minorEastAsia"/>
          <w:sz w:val="32"/>
          <w:szCs w:val="32"/>
          <w:lang w:eastAsia="zh-CN"/>
        </w:rPr>
        <w:t>二</w:t>
      </w:r>
      <w:r>
        <w:rPr>
          <w:rFonts w:hint="eastAsia" w:asciiTheme="minorEastAsia" w:hAnsiTheme="minorEastAsia" w:eastAsiaTheme="minorEastAsia"/>
          <w:sz w:val="32"/>
          <w:szCs w:val="32"/>
        </w:rPr>
        <w:t>次</w:t>
      </w:r>
      <w:r>
        <w:rPr>
          <w:rFonts w:hint="eastAsia" w:asciiTheme="minorEastAsia" w:hAnsiTheme="minorEastAsia" w:eastAsiaTheme="minorEastAsia"/>
          <w:sz w:val="32"/>
          <w:szCs w:val="32"/>
          <w:lang w:eastAsia="zh-CN"/>
        </w:rPr>
        <w:t>局务会：总结第一季度工作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2.55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消防知识、保密知识授课、学习党校学习等</w:t>
      </w:r>
      <w:r>
        <w:rPr>
          <w:rFonts w:hint="eastAsia" w:asciiTheme="minorEastAsia" w:hAnsiTheme="minorEastAsia" w:eastAsiaTheme="minorEastAsia"/>
          <w:sz w:val="32"/>
          <w:szCs w:val="32"/>
        </w:rPr>
        <w:t>培训，人数XX人，内容为</w:t>
      </w:r>
      <w:r>
        <w:rPr>
          <w:rFonts w:hint="eastAsia" w:asciiTheme="minorEastAsia" w:hAnsiTheme="minorEastAsia" w:eastAsiaTheme="minorEastAsia"/>
          <w:sz w:val="32"/>
          <w:szCs w:val="32"/>
          <w:lang w:eastAsia="zh-CN"/>
        </w:rPr>
        <w:t>消防知识、保密知识授课、学习党校学习等</w:t>
      </w:r>
      <w:r>
        <w:rPr>
          <w:rFonts w:hint="eastAsia" w:asciiTheme="minorEastAsia" w:hAnsiTheme="minorEastAsia" w:eastAsiaTheme="minorEastAsia"/>
          <w:sz w:val="32"/>
          <w:szCs w:val="32"/>
        </w:rPr>
        <w:t>培训；举办</w:t>
      </w:r>
      <w:r>
        <w:rPr>
          <w:rFonts w:hint="eastAsia" w:asciiTheme="minorEastAsia" w:hAnsiTheme="minorEastAsia" w:eastAsiaTheme="minorEastAsia"/>
          <w:sz w:val="32"/>
          <w:szCs w:val="32"/>
          <w:lang w:eastAsia="zh-CN"/>
        </w:rPr>
        <w:t>全民健身和全民阅读、参加州直机关道德讲堂等</w:t>
      </w:r>
      <w:r>
        <w:rPr>
          <w:rFonts w:hint="eastAsia" w:asciiTheme="minorEastAsia" w:hAnsiTheme="minorEastAsia" w:eastAsiaTheme="minorEastAsia"/>
          <w:sz w:val="32"/>
          <w:szCs w:val="32"/>
        </w:rPr>
        <w:t>活动，开支</w:t>
      </w:r>
      <w:r>
        <w:rPr>
          <w:rFonts w:hint="eastAsia" w:asciiTheme="minorEastAsia" w:hAnsiTheme="minorEastAsia" w:eastAsiaTheme="minorEastAsia"/>
          <w:sz w:val="32"/>
          <w:szCs w:val="32"/>
          <w:lang w:val="en-US" w:eastAsia="zh-CN"/>
        </w:rPr>
        <w:t>18.95</w:t>
      </w:r>
      <w:r>
        <w:rPr>
          <w:rFonts w:hint="eastAsia" w:asciiTheme="minorEastAsia" w:hAnsiTheme="minorEastAsia" w:eastAsiaTheme="minorEastAsia"/>
          <w:sz w:val="32"/>
          <w:szCs w:val="32"/>
        </w:rPr>
        <w:t>万元，主要是</w:t>
      </w:r>
      <w:r>
        <w:rPr>
          <w:rFonts w:hint="eastAsia" w:asciiTheme="minorEastAsia" w:hAnsiTheme="minorEastAsia" w:eastAsiaTheme="minorEastAsia"/>
          <w:sz w:val="32"/>
          <w:szCs w:val="32"/>
          <w:lang w:eastAsia="zh-CN"/>
        </w:rPr>
        <w:t>全民健身工会活动购买服装费</w:t>
      </w:r>
      <w:r>
        <w:rPr>
          <w:rFonts w:hint="eastAsia" w:asciiTheme="minorEastAsia" w:hAnsiTheme="minorEastAsia" w:eastAsiaTheme="minorEastAsia"/>
          <w:sz w:val="32"/>
          <w:szCs w:val="32"/>
          <w:lang w:val="en-US" w:eastAsia="zh-CN"/>
        </w:rPr>
        <w:t>9.86万元、体育器材和奖品及阅读书籍等2.57万元，参加州直机关道德讲堂活动服装、劳务费、租赁费等6.52万元</w:t>
      </w:r>
      <w:r>
        <w:rPr>
          <w:rFonts w:hint="eastAsia" w:asciiTheme="minorEastAsia" w:hAnsiTheme="minorEastAsia" w:eastAsiaTheme="minorEastAsia"/>
          <w:sz w:val="32"/>
          <w:szCs w:val="32"/>
        </w:rPr>
        <w:t>。</w:t>
      </w:r>
    </w:p>
    <w:p>
      <w:pPr>
        <w:pStyle w:val="9"/>
        <w:rPr>
          <w:rFonts w:hint="eastAsia" w:hAnsi="黑体" w:eastAsia="黑体"/>
          <w:b/>
          <w:sz w:val="32"/>
          <w:szCs w:val="32"/>
          <w:lang w:eastAsia="zh-CN"/>
        </w:rPr>
      </w:pPr>
      <w:r>
        <w:rPr>
          <w:rFonts w:hint="eastAsia" w:hAnsi="黑体"/>
          <w:b/>
          <w:sz w:val="32"/>
          <w:szCs w:val="32"/>
          <w:lang w:val="en-US" w:eastAsia="zh-CN"/>
        </w:rPr>
        <w:t xml:space="preserve">   （三）</w:t>
      </w:r>
      <w:r>
        <w:rPr>
          <w:rFonts w:hint="eastAsia" w:hAnsi="黑体"/>
          <w:b/>
          <w:sz w:val="32"/>
          <w:szCs w:val="32"/>
        </w:rPr>
        <w:t>政府采购支出</w:t>
      </w:r>
      <w:r>
        <w:rPr>
          <w:rFonts w:hint="eastAsia" w:hAnsi="黑体"/>
          <w:b/>
          <w:sz w:val="32"/>
          <w:szCs w:val="32"/>
          <w:lang w:val="en-US" w:eastAsia="zh-CN"/>
        </w:rPr>
        <w:t>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125.24</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112.74</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12.50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23.56</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18.81</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17.55</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14.01</w:t>
      </w:r>
      <w:r>
        <w:rPr>
          <w:rFonts w:hint="eastAsia" w:asciiTheme="minorEastAsia" w:hAnsiTheme="minorEastAsia" w:eastAsiaTheme="minorEastAsia"/>
          <w:sz w:val="32"/>
          <w:szCs w:val="32"/>
        </w:rPr>
        <w:t>%。</w:t>
      </w:r>
    </w:p>
    <w:p>
      <w:pPr>
        <w:pStyle w:val="9"/>
        <w:ind w:firstLine="320" w:firstLineChars="100"/>
        <w:rPr>
          <w:rFonts w:hAnsi="黑体"/>
          <w:b/>
          <w:sz w:val="32"/>
          <w:szCs w:val="32"/>
        </w:rPr>
      </w:pPr>
      <w:r>
        <w:rPr>
          <w:rFonts w:hint="eastAsia" w:hAnsi="黑体"/>
          <w:b/>
          <w:sz w:val="32"/>
          <w:szCs w:val="32"/>
          <w:lang w:eastAsia="zh-CN"/>
        </w:rPr>
        <w:t>（</w:t>
      </w:r>
      <w:r>
        <w:rPr>
          <w:rFonts w:hint="eastAsia" w:hAnsi="黑体"/>
          <w:b/>
          <w:sz w:val="32"/>
          <w:szCs w:val="32"/>
          <w:lang w:val="en-US" w:eastAsia="zh-CN"/>
        </w:rPr>
        <w:t>四</w:t>
      </w:r>
      <w:r>
        <w:rPr>
          <w:rFonts w:hint="eastAsia" w:hAnsi="黑体"/>
          <w:b/>
          <w:sz w:val="32"/>
          <w:szCs w:val="32"/>
          <w:lang w:eastAsia="zh-CN"/>
        </w:rPr>
        <w:t>）</w:t>
      </w:r>
      <w:r>
        <w:rPr>
          <w:rFonts w:hint="eastAsia" w:hAnsi="黑体"/>
          <w:b/>
          <w:sz w:val="32"/>
          <w:szCs w:val="32"/>
        </w:rPr>
        <w:t>国有资产占用情况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检验检测业务工作用车</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widowControl/>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9"/>
        <w:jc w:val="left"/>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ind w:firstLine="640" w:firstLineChars="200"/>
        <w:jc w:val="center"/>
        <w:rPr>
          <w:rFonts w:hint="eastAsia" w:cs="黑体" w:asciiTheme="minorEastAsia" w:hAnsiTheme="minorEastAsia"/>
          <w:b/>
          <w:color w:val="000000"/>
          <w:kern w:val="0"/>
          <w:sz w:val="32"/>
          <w:szCs w:val="32"/>
        </w:rPr>
      </w:pPr>
    </w:p>
    <w:p>
      <w:pPr>
        <w:ind w:firstLine="640" w:firstLineChars="200"/>
        <w:jc w:val="center"/>
        <w:rPr>
          <w:rFonts w:hint="eastAsia" w:cs="黑体" w:asciiTheme="minorEastAsia" w:hAnsiTheme="minorEastAsia"/>
          <w:b/>
          <w:color w:val="000000"/>
          <w:kern w:val="0"/>
          <w:sz w:val="32"/>
          <w:szCs w:val="32"/>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1400" w:firstLineChars="200"/>
        <w:jc w:val="center"/>
        <w:rPr>
          <w:rFonts w:ascii="黑体" w:eastAsia="黑体" w:cs="黑体"/>
          <w:color w:val="000000"/>
          <w:kern w:val="0"/>
          <w:sz w:val="70"/>
          <w:szCs w:val="70"/>
        </w:rPr>
      </w:pPr>
      <w:r>
        <w:rPr>
          <w:rFonts w:ascii="黑体" w:eastAsia="黑体" w:cs="黑体"/>
          <w:color w:val="000000"/>
          <w:kern w:val="0"/>
          <w:sz w:val="70"/>
          <w:szCs w:val="70"/>
        </w:rPr>
        <w:br w:type="page"/>
      </w:r>
    </w:p>
    <w:p>
      <w:pPr>
        <w:widowControl/>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rPr>
        <w:t>湘西土家族苗族自治州市场监督管理局</w:t>
      </w:r>
    </w:p>
    <w:p>
      <w:pPr>
        <w:widowControl/>
        <w:jc w:val="center"/>
        <w:rPr>
          <w:rFonts w:hint="eastAsia" w:ascii="黑体" w:hAnsi="黑体" w:eastAsia="黑体" w:cs="黑体"/>
          <w:b/>
          <w:bCs/>
          <w:color w:val="000000"/>
          <w:kern w:val="0"/>
          <w:sz w:val="44"/>
          <w:szCs w:val="44"/>
        </w:rPr>
      </w:pPr>
      <w:r>
        <w:rPr>
          <w:rFonts w:hint="eastAsia" w:ascii="黑体" w:hAnsi="黑体" w:eastAsia="黑体" w:cs="黑体"/>
          <w:b/>
          <w:color w:val="000000"/>
          <w:kern w:val="0"/>
          <w:sz w:val="44"/>
          <w:szCs w:val="44"/>
        </w:rPr>
        <w:t>2020年度部门整体支出绩效评价报告</w:t>
      </w:r>
    </w:p>
    <w:p>
      <w:pPr>
        <w:spacing w:line="580" w:lineRule="exact"/>
        <w:ind w:firstLine="750" w:firstLineChars="250"/>
        <w:rPr>
          <w:rFonts w:hint="eastAsia" w:ascii="仿宋_GB2312" w:hAnsi="仿宋_GB2312" w:eastAsia="仿宋_GB2312" w:cs="仿宋_GB2312"/>
          <w:sz w:val="30"/>
          <w:szCs w:val="30"/>
        </w:rPr>
      </w:pPr>
    </w:p>
    <w:p>
      <w:pPr>
        <w:spacing w:line="580" w:lineRule="exact"/>
        <w:ind w:firstLine="700" w:firstLineChars="250"/>
        <w:rPr>
          <w:rFonts w:hint="eastAsia" w:ascii="仿宋_GB2312" w:hAnsi="仿宋_GB2312" w:eastAsia="仿宋_GB2312" w:cs="仿宋_GB2312"/>
          <w:sz w:val="28"/>
          <w:szCs w:val="28"/>
        </w:rPr>
      </w:pPr>
      <w:r>
        <w:rPr>
          <w:rFonts w:hint="eastAsia" w:eastAsia="仿宋_GB2312"/>
          <w:sz w:val="28"/>
          <w:szCs w:val="32"/>
        </w:rPr>
        <w:t>为进一步规范</w:t>
      </w:r>
      <w:r>
        <w:rPr>
          <w:rFonts w:hint="eastAsia" w:ascii="仿宋_GB2312" w:hAnsi="仿宋_GB2312" w:eastAsia="仿宋_GB2312" w:cs="仿宋_GB2312"/>
          <w:sz w:val="28"/>
          <w:szCs w:val="28"/>
        </w:rPr>
        <w:t>湘西土家族苗族自治州市场监督管理局(以下简称“本单位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r>
        <w:rPr>
          <w:rFonts w:hint="eastAsia" w:eastAsia="仿宋_GB2312"/>
          <w:sz w:val="28"/>
          <w:szCs w:val="32"/>
        </w:rPr>
        <w:t>财政资金管理，</w:t>
      </w:r>
      <w:r>
        <w:rPr>
          <w:rFonts w:eastAsia="仿宋_GB2312"/>
          <w:sz w:val="28"/>
          <w:szCs w:val="32"/>
        </w:rPr>
        <w:t>建立全方位、全过程、全覆盖的预算绩效管理体系，</w:t>
      </w:r>
      <w:r>
        <w:rPr>
          <w:rFonts w:hint="eastAsia" w:eastAsia="仿宋_GB2312"/>
          <w:sz w:val="28"/>
          <w:szCs w:val="32"/>
        </w:rPr>
        <w:t>强化部门责任意识，切实提高财政资金使用效益，</w:t>
      </w:r>
      <w:r>
        <w:rPr>
          <w:rFonts w:eastAsia="仿宋_GB2312"/>
          <w:sz w:val="28"/>
          <w:szCs w:val="32"/>
        </w:rPr>
        <w:t>提升预算</w:t>
      </w:r>
      <w:r>
        <w:rPr>
          <w:rFonts w:hint="eastAsia" w:eastAsia="仿宋_GB2312"/>
          <w:sz w:val="28"/>
          <w:szCs w:val="32"/>
        </w:rPr>
        <w:t>绩效</w:t>
      </w:r>
      <w:r>
        <w:rPr>
          <w:rFonts w:eastAsia="仿宋_GB2312"/>
          <w:sz w:val="28"/>
          <w:szCs w:val="32"/>
        </w:rPr>
        <w:t>管理水平</w:t>
      </w:r>
      <w:r>
        <w:rPr>
          <w:rFonts w:hint="eastAsia" w:eastAsia="仿宋_GB2312"/>
          <w:sz w:val="28"/>
          <w:szCs w:val="32"/>
        </w:rPr>
        <w:t>，根据《湖南省财政厅关于印发&lt;湖南省预算支出绩效评价管理办法&gt;的通知》（湘财绩〔2020〕7号）、</w:t>
      </w:r>
      <w:r>
        <w:rPr>
          <w:rFonts w:hint="eastAsia" w:eastAsia="仿宋_GB2312" w:cs="仿宋_GB2312"/>
          <w:sz w:val="28"/>
          <w:szCs w:val="32"/>
        </w:rPr>
        <w:t>《湘西自治州州级预算部门整体支出绩效自评操作规程》</w:t>
      </w:r>
      <w:r>
        <w:rPr>
          <w:rFonts w:hint="eastAsia" w:eastAsia="仿宋_GB2312"/>
          <w:sz w:val="28"/>
          <w:szCs w:val="32"/>
        </w:rPr>
        <w:t>（州财绩〔2021〕6 号）和</w:t>
      </w:r>
      <w:r>
        <w:rPr>
          <w:rFonts w:hint="eastAsia" w:ascii="仿宋_GB2312" w:hAnsi="仿宋_GB2312" w:eastAsia="仿宋_GB2312" w:cs="仿宋_GB2312"/>
          <w:sz w:val="28"/>
          <w:szCs w:val="28"/>
        </w:rPr>
        <w:t>《湘西州财政局关于开展2020年度州直预算部门（单位）整体支出绩效自评工作的通知》（州财绩〔2021〕8号）等文件的要求，本单位于2021年5月至6月，组织力量对本单位的部门预算整体支出进行了绩效评价，本次评价遵循了“科学规范、公正公开、分类管理、绩效相关”的原则，运用科学、合理的绩效评价指标、评价标准和评价方法，对本单位2020年度部门整体支出的绩效情况进行客观、公正的评价。现将情况汇报如下：</w:t>
      </w:r>
    </w:p>
    <w:p>
      <w:pPr>
        <w:spacing w:line="58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一、基本情况</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（一）部门基本情况和职责概述：</w:t>
      </w:r>
      <w:r>
        <w:rPr>
          <w:rFonts w:hint="eastAsia" w:ascii="仿宋_GB2312" w:hAnsi="仿宋_GB2312" w:eastAsia="仿宋_GB2312" w:cs="仿宋_GB2312"/>
          <w:sz w:val="28"/>
          <w:szCs w:val="28"/>
        </w:rPr>
        <w:t>湘西土家族苗族自治州市场监督管理局是</w:t>
      </w:r>
      <w:r>
        <w:rPr>
          <w:rFonts w:hint="eastAsia" w:ascii="仿宋_GB2312" w:hAnsi="楷体" w:eastAsia="仿宋_GB2312"/>
          <w:bCs/>
          <w:sz w:val="28"/>
          <w:szCs w:val="28"/>
        </w:rPr>
        <w:t>根据</w:t>
      </w:r>
      <w:r>
        <w:rPr>
          <w:rFonts w:hint="eastAsia" w:ascii="仿宋_GB2312" w:hAnsi="仿宋_GB2312" w:eastAsia="仿宋_GB2312" w:cs="仿宋_GB2312"/>
          <w:sz w:val="28"/>
          <w:szCs w:val="28"/>
        </w:rPr>
        <w:t>《中共湘西自治州委办公室 湘西自治州人民政府办公室关于印发〈湘西土家族苗族自治州机构改革方案〉的通知》（州办发〔2019〕2号）及《中共湘西自治州委 湘西自治州人民政府关于湘西土家族苗族自治州州级党政机关机构设置的通知》（州发〔2019〕5号）</w:t>
      </w:r>
      <w:r>
        <w:rPr>
          <w:rFonts w:hint="eastAsia" w:ascii="仿宋_GB2312" w:hAnsi="楷体" w:eastAsia="仿宋_GB2312"/>
          <w:bCs/>
          <w:sz w:val="28"/>
          <w:szCs w:val="28"/>
        </w:rPr>
        <w:t>于20</w:t>
      </w:r>
      <w:r>
        <w:rPr>
          <w:rFonts w:hint="eastAsia" w:ascii="仿宋_GB2312" w:hAnsi="楷体" w:eastAsia="仿宋_GB2312"/>
          <w:bCs/>
          <w:sz w:val="28"/>
          <w:szCs w:val="28"/>
          <w:lang w:val="en-US" w:eastAsia="zh-CN"/>
        </w:rPr>
        <w:t>19</w:t>
      </w:r>
      <w:r>
        <w:rPr>
          <w:rFonts w:hint="eastAsia" w:ascii="仿宋_GB2312" w:hAnsi="楷体" w:eastAsia="仿宋_GB2312"/>
          <w:bCs/>
          <w:sz w:val="28"/>
          <w:szCs w:val="28"/>
        </w:rPr>
        <w:t>年2月挂牌设立的</w:t>
      </w:r>
      <w:r>
        <w:rPr>
          <w:rFonts w:hint="eastAsia" w:ascii="仿宋_GB2312" w:hAnsi="仿宋_GB2312" w:eastAsia="仿宋_GB2312" w:cs="仿宋_GB2312"/>
          <w:sz w:val="28"/>
          <w:szCs w:val="28"/>
        </w:rPr>
        <w:t>国家行政机关</w:t>
      </w:r>
      <w:r>
        <w:rPr>
          <w:rFonts w:hint="eastAsia" w:ascii="仿宋_GB2312" w:hAnsi="楷体" w:eastAsia="仿宋_GB2312"/>
          <w:bCs/>
          <w:sz w:val="28"/>
          <w:szCs w:val="28"/>
        </w:rPr>
        <w:t>，由原州工商行政管理局、州质量技术监督局、州食品药品监督管理局（该三个单位于2019年2月合并）和州价格监督检查局、州商务综合执法支队、</w:t>
      </w:r>
      <w:r>
        <w:rPr>
          <w:rFonts w:hint="eastAsia" w:ascii="仿宋_GB2312" w:hAnsi="仿宋_GB2312" w:eastAsia="仿宋_GB2312" w:cs="仿宋_GB2312"/>
          <w:sz w:val="28"/>
          <w:szCs w:val="28"/>
        </w:rPr>
        <w:t>州质量技术监督信息管理所</w:t>
      </w:r>
      <w:r>
        <w:rPr>
          <w:rFonts w:hint="eastAsia" w:ascii="仿宋_GB2312" w:hAnsi="楷体" w:eastAsia="仿宋_GB2312"/>
          <w:bCs/>
          <w:sz w:val="28"/>
          <w:szCs w:val="28"/>
        </w:rPr>
        <w:t>（该3个单位于2020年合并进局机关）等合并而成，</w:t>
      </w:r>
      <w:r>
        <w:rPr>
          <w:rFonts w:hint="eastAsia" w:ascii="仿宋_GB2312" w:hAnsi="仿宋_GB2312" w:eastAsia="仿宋_GB2312" w:cs="仿宋_GB2312"/>
          <w:sz w:val="28"/>
          <w:szCs w:val="28"/>
        </w:rPr>
        <w:t>为州人民政府工作部门。单位住所在吉首市乾州新区人民南路39号，统一社会信用代码为</w:t>
      </w:r>
      <w:r>
        <w:rPr>
          <w:rFonts w:ascii="仿宋_GB2312" w:hAnsi="仿宋_GB2312" w:eastAsia="仿宋_GB2312" w:cs="仿宋_GB2312"/>
          <w:sz w:val="28"/>
          <w:szCs w:val="28"/>
        </w:rPr>
        <w:t>11433100MB151234XT</w:t>
      </w:r>
      <w:r>
        <w:rPr>
          <w:rFonts w:hint="eastAsia" w:ascii="仿宋_GB2312" w:hAnsi="仿宋_GB2312" w:eastAsia="仿宋_GB2312" w:cs="仿宋_GB2312"/>
          <w:sz w:val="28"/>
          <w:szCs w:val="28"/>
        </w:rPr>
        <w:t>。根据《中共湘西自治州委办公室 湘西自治州人民政府办公室关于印发〈湘西土家族苗族自治州市场监督管理局职能配置、内设机构和人员编制规定〉的通知》（州办〔2019〕73号）的规定，本单位的主要职责是：</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（一）负责市场综合监督管理。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（二）负责市场主体统一登记注册。</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（三）负责组织和指导市场监管综合执法工作。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（四）负责反垄断统一执法。</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（五）负责监督管理市场秩序。</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（六）负责宏观质量管理。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（七）负责产品质量安全监督管理。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（八）负责特种设备安全监督管理。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（九）负责食品安全监督管理综合协调。</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（十）负责食品安全监督管理。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（十一）负责药品（含中药、民族药）、医疗器械盒化妆品安全监督管理。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（十二）负责职责范围内的药品、医疗器械和化妆品标准管理。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（十三）负责权限内药品、医疗器械的行政许可、备案和化妆品备案工作。负责土家药、苗药饮片备案。</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（十四）负责药品、医疗器械盒化妆品质量管理。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（十五）组织开展药品不良反应、医疗器械不良事件和化妆品的不良反应监测工作。依法承担药品、医疗器械和化妆品安全应急管理工作。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（十六）负责组织实施药品、医疗器械和化妆品监督检查。</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（十七）负责统一管理计量工作。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（十八）负责统一管理标准化工作。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（十九）负责检验检测监督管理工作。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（二十）负责监督管理和综合协调全州认证认可与合格评定工作。依法监督管理全州认证认可和合格评定相关活动。</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（二十一）负责市场监督管理、知识产权领域科技和信息化建设、新闻宣传、对外交流与合作。按规定承担技术性贸易措施有关工作。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（二十二）负责实施知识产权战略，推进知识产权强州建设。</w:t>
      </w:r>
    </w:p>
    <w:p>
      <w:pPr>
        <w:spacing w:line="540" w:lineRule="exact"/>
        <w:ind w:firstLine="140" w:firstLineChars="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(二十三)负责保护知识产权。</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（二十四）负责知识产权创造运用。</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（二十五）负责组织开展有关服务领域消费维权工作，查处制售假冒伪劣等违法行为，指导消费者咨询、申诉、举报受理、处理网络体系建设等工作，保护经营者、消费者合法权益。</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（二十六）完成州委、州政府交办的其他任务</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本单位共有29个内设机构、2个单列机构、1个直属行政机构、1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个二级机构（</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个非独立核算、2个独立核算）、1个挂靠的社团组织办事机构。其中29个内设机构包括：办公室、政策法规科、登记注册局、旅游市场监督管理局、信用监督管理科、反垄断局、价格监督检查和反不正当竞争局、网络交易监督管理科、广告监督管理科、质量发展局、产品质量安全监督管理科、食品安全协调及抽检检测科、食品生产安全监督管理科、食品经营安全监督管理科、特殊食品安全监督管理科、特种设备安全监察局、计量科、标准化科、认可与认证监督管理科、知识产权促进科、知识产权保护科、知识产权运用科、药品注册生产流通监督管理科、医疗器械监督管理科、化妆品监督管理科、消费者权益保护科、小微企业个体工商户专业市场党建工作指导科、科技和财务科、人事科；2个单列机构为机关党委和离退休人员管理服务科；1个直属行政机构为湘西州经济开发区分局；</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个非独立核算二级机构为：州市场监管综合行政执法局、</w:t>
      </w:r>
      <w:r>
        <w:rPr>
          <w:rFonts w:hint="eastAsia" w:ascii="仿宋_GB2312" w:hAnsi="仿宋_GB2312" w:eastAsia="仿宋_GB2312" w:cs="仿宋_GB2312"/>
          <w:sz w:val="28"/>
          <w:szCs w:val="28"/>
          <w:lang w:eastAsia="zh-CN"/>
        </w:rPr>
        <w:t>州</w:t>
      </w:r>
      <w:r>
        <w:rPr>
          <w:rFonts w:hint="eastAsia" w:ascii="仿宋_GB2312" w:hAnsi="仿宋_GB2312" w:eastAsia="仿宋_GB2312" w:cs="仿宋_GB2312"/>
          <w:sz w:val="28"/>
          <w:szCs w:val="28"/>
        </w:rPr>
        <w:t>酒</w:t>
      </w:r>
      <w:r>
        <w:rPr>
          <w:rFonts w:hint="eastAsia" w:ascii="仿宋_GB2312" w:hAnsi="仿宋_GB2312" w:eastAsia="仿宋_GB2312" w:cs="仿宋_GB2312"/>
          <w:sz w:val="28"/>
          <w:szCs w:val="28"/>
          <w:lang w:eastAsia="zh-CN"/>
        </w:rPr>
        <w:t>管</w:t>
      </w:r>
      <w:r>
        <w:rPr>
          <w:rFonts w:hint="eastAsia" w:ascii="仿宋_GB2312" w:hAnsi="仿宋_GB2312" w:eastAsia="仿宋_GB2312" w:cs="仿宋_GB2312"/>
          <w:sz w:val="28"/>
          <w:szCs w:val="28"/>
        </w:rPr>
        <w:t>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后勤服务中心、信息中心、培训中心、12315</w:t>
      </w:r>
      <w:r>
        <w:rPr>
          <w:rFonts w:hint="eastAsia" w:ascii="仿宋_GB2312" w:hAnsi="仿宋_GB2312" w:eastAsia="仿宋_GB2312" w:cs="仿宋_GB2312"/>
          <w:sz w:val="28"/>
          <w:szCs w:val="28"/>
          <w:lang w:eastAsia="zh-CN"/>
        </w:rPr>
        <w:t>投诉</w:t>
      </w:r>
      <w:r>
        <w:rPr>
          <w:rFonts w:hint="eastAsia" w:ascii="仿宋_GB2312" w:hAnsi="仿宋_GB2312" w:eastAsia="仿宋_GB2312" w:cs="仿宋_GB2312"/>
          <w:sz w:val="28"/>
          <w:szCs w:val="28"/>
        </w:rPr>
        <w:t>举报中心、</w:t>
      </w:r>
      <w:r>
        <w:rPr>
          <w:rFonts w:hint="eastAsia" w:ascii="仿宋_GB2312" w:hAnsi="仿宋_GB2312" w:eastAsia="仿宋_GB2312" w:cs="仿宋_GB2312"/>
          <w:sz w:val="28"/>
          <w:szCs w:val="28"/>
          <w:lang w:eastAsia="zh-CN"/>
        </w:rPr>
        <w:t>食品</w:t>
      </w:r>
      <w:r>
        <w:rPr>
          <w:rFonts w:hint="eastAsia" w:ascii="仿宋_GB2312" w:hAnsi="仿宋_GB2312" w:eastAsia="仿宋_GB2312" w:cs="仿宋_GB2312"/>
          <w:sz w:val="28"/>
          <w:szCs w:val="28"/>
        </w:rPr>
        <w:t>药品</w:t>
      </w:r>
      <w:r>
        <w:rPr>
          <w:rFonts w:hint="eastAsia" w:ascii="仿宋_GB2312" w:hAnsi="仿宋_GB2312" w:eastAsia="仿宋_GB2312" w:cs="仿宋_GB2312"/>
          <w:sz w:val="28"/>
          <w:szCs w:val="28"/>
          <w:lang w:eastAsia="zh-CN"/>
        </w:rPr>
        <w:t>审评认证服务</w:t>
      </w:r>
      <w:r>
        <w:rPr>
          <w:rFonts w:hint="eastAsia" w:ascii="仿宋_GB2312" w:hAnsi="仿宋_GB2312" w:eastAsia="仿宋_GB2312" w:cs="仿宋_GB2312"/>
          <w:sz w:val="28"/>
          <w:szCs w:val="28"/>
        </w:rPr>
        <w:t>中心、</w:t>
      </w:r>
      <w:r>
        <w:rPr>
          <w:rFonts w:hint="eastAsia" w:ascii="仿宋_GB2312" w:hAnsi="仿宋_GB2312" w:eastAsia="仿宋_GB2312" w:cs="仿宋_GB2312"/>
          <w:sz w:val="28"/>
          <w:szCs w:val="28"/>
          <w:lang w:eastAsia="zh-CN"/>
        </w:rPr>
        <w:t>知识产权受理事务</w:t>
      </w:r>
      <w:r>
        <w:rPr>
          <w:rFonts w:hint="eastAsia" w:ascii="仿宋_GB2312" w:hAnsi="仿宋_GB2312" w:eastAsia="仿宋_GB2312" w:cs="仿宋_GB2312"/>
          <w:sz w:val="28"/>
          <w:szCs w:val="28"/>
        </w:rPr>
        <w:t>中心、州个体私营经济发展指导中心；2个独立核算的二级机构均为公益一类事业单位，分别是：州质量检验及计量检定中心（由州计量测试检定所和州产商品质量监督检验所于2020年1月合并，2020年时两个所独立核算）、州食品药品检验所；1个挂靠的社团组织办事机构为州消费者委员会秘书处。</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截止2020年12月31日，本单位经州编委核定的编制数为314名，其中：行政编制87名，全额拨款参公管理编制87名，工勤编制15名，全额拨款事业编制125名。实际在职人员295人（含州纪委派驻组4人）。</w:t>
      </w:r>
    </w:p>
    <w:p>
      <w:pPr>
        <w:spacing w:line="600" w:lineRule="exact"/>
        <w:ind w:firstLine="640" w:firstLineChars="200"/>
        <w:rPr>
          <w:rFonts w:hint="eastAsia" w:eastAsia="楷体_GB2312"/>
          <w:b/>
          <w:bCs/>
          <w:sz w:val="32"/>
          <w:szCs w:val="32"/>
        </w:rPr>
      </w:pPr>
      <w:r>
        <w:rPr>
          <w:rFonts w:eastAsia="楷体_GB2312"/>
          <w:b/>
          <w:bCs/>
          <w:sz w:val="32"/>
          <w:szCs w:val="32"/>
        </w:rPr>
        <w:t>（二）部门（单位）年度整体支出绩效目标，</w:t>
      </w:r>
      <w:r>
        <w:rPr>
          <w:rFonts w:hint="eastAsia"/>
          <w:b/>
          <w:bCs/>
          <w:sz w:val="32"/>
          <w:szCs w:val="32"/>
        </w:rPr>
        <w:t>州</w:t>
      </w:r>
      <w:r>
        <w:rPr>
          <w:rFonts w:eastAsia="楷体_GB2312"/>
          <w:b/>
          <w:bCs/>
          <w:sz w:val="32"/>
          <w:szCs w:val="32"/>
        </w:rPr>
        <w:t>级专项资金绩效目标、其他项目支出（除</w:t>
      </w:r>
      <w:r>
        <w:rPr>
          <w:rFonts w:hint="eastAsia"/>
          <w:b/>
          <w:bCs/>
          <w:sz w:val="32"/>
          <w:szCs w:val="32"/>
        </w:rPr>
        <w:t>州</w:t>
      </w:r>
      <w:r>
        <w:rPr>
          <w:rFonts w:eastAsia="楷体_GB2312"/>
          <w:b/>
          <w:bCs/>
          <w:sz w:val="32"/>
          <w:szCs w:val="32"/>
        </w:rPr>
        <w:t>级专项资金以外）绩效</w:t>
      </w:r>
      <w:r>
        <w:rPr>
          <w:rFonts w:hint="eastAsia" w:eastAsia="楷体_GB2312"/>
          <w:b/>
          <w:bCs/>
          <w:sz w:val="32"/>
          <w:szCs w:val="32"/>
        </w:rPr>
        <w:t>目标</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Style w:val="12"/>
        </w:rPr>
        <w:t xml:space="preserve"> </w:t>
      </w:r>
      <w:r>
        <w:rPr>
          <w:rStyle w:val="12"/>
          <w:rFonts w:hint="eastAsia"/>
          <w:b/>
        </w:rPr>
        <w:t>单位</w:t>
      </w:r>
      <w:r>
        <w:rPr>
          <w:rStyle w:val="12"/>
          <w:b/>
        </w:rPr>
        <w:t>年度整体支出绩效目标</w:t>
      </w:r>
      <w:r>
        <w:rPr>
          <w:rStyle w:val="12"/>
          <w:rFonts w:hint="eastAsia"/>
        </w:rPr>
        <w:t>：履行行政执法职能、维护社会经济良好秩序；打击假冒伪劣商品、维护消费者合法权益；逐步推进质量提升、严守安全监管底线；以民生计量为重点，为市场经济发展保驾护航，以能源计量为重点，大力推进节能降耗，以安全计量为重点，做好质量安全风险排查和道德领域治理工作；掌握我州的产品质量动态，为全州产品质量监督管理及质量强州战略提供技术支撑；</w:t>
      </w:r>
      <w:r>
        <w:rPr>
          <w:rFonts w:hint="eastAsia" w:ascii="仿宋_GB2312" w:hAnsi="仿宋_GB2312" w:eastAsia="仿宋_GB2312" w:cs="仿宋_GB2312"/>
          <w:sz w:val="28"/>
          <w:szCs w:val="28"/>
        </w:rPr>
        <w:t>承担全州食品、药品、保健食品、化妆品的质量监督检验，保障仪器正常运转、人员检验能力的提高。</w:t>
      </w:r>
    </w:p>
    <w:p>
      <w:pPr>
        <w:spacing w:line="540" w:lineRule="exact"/>
        <w:ind w:firstLine="560" w:firstLineChars="200"/>
        <w:rPr>
          <w:rFonts w:hint="eastAsia" w:eastAsia="楷体_GB2312"/>
          <w:bCs/>
          <w:sz w:val="28"/>
          <w:szCs w:val="28"/>
        </w:rPr>
      </w:pPr>
      <w:r>
        <w:rPr>
          <w:rFonts w:hint="eastAsia" w:ascii="仿宋_GB2312" w:hAnsi="仿宋_GB2312" w:eastAsia="仿宋_GB2312" w:cs="仿宋_GB2312"/>
          <w:sz w:val="28"/>
          <w:szCs w:val="28"/>
        </w:rPr>
        <w:t>2.</w:t>
      </w:r>
      <w:r>
        <w:rPr>
          <w:rFonts w:hint="eastAsia"/>
          <w:bCs/>
          <w:sz w:val="32"/>
          <w:szCs w:val="32"/>
        </w:rPr>
        <w:t xml:space="preserve"> </w:t>
      </w:r>
      <w:r>
        <w:rPr>
          <w:rFonts w:hint="eastAsia"/>
          <w:b/>
          <w:bCs/>
          <w:sz w:val="32"/>
          <w:szCs w:val="32"/>
        </w:rPr>
        <w:t>州</w:t>
      </w:r>
      <w:r>
        <w:rPr>
          <w:rFonts w:eastAsia="楷体_GB2312"/>
          <w:b/>
          <w:bCs/>
          <w:sz w:val="28"/>
          <w:szCs w:val="28"/>
        </w:rPr>
        <w:t>级专项资金绩效目标</w:t>
      </w:r>
      <w:r>
        <w:rPr>
          <w:rFonts w:hint="eastAsia" w:eastAsia="楷体_GB2312"/>
          <w:b/>
          <w:bCs/>
          <w:sz w:val="28"/>
          <w:szCs w:val="28"/>
        </w:rPr>
        <w:t>：</w:t>
      </w:r>
      <w:r>
        <w:rPr>
          <w:rFonts w:hint="eastAsia" w:eastAsia="仿宋_GB2312"/>
          <w:sz w:val="28"/>
          <w:szCs w:val="28"/>
        </w:rPr>
        <w:t>全面了解食品药品安全状况，在全州开展食品药品企业监管工作，加大食品药品犯罪打击力度、保障人民群众的饮食安全，加大食品药品安全宣传力度，提高食品药品安全监管能力和水平；打击经济违法违规行为，打击传销，规范行业经营行为，倡导诚信守法经营，引导市民远离传销，建立打传长效机制，保护消费者合法权益；继续推进商事制度改革，做好商事制度改革后续监管工作，维护经济稳定；保障检验工作正常开展，检验人员不断提高检验能力，逐年淘汰无法修复办公设备及小型仪器设备和仪器设备基本日常维护保养运转。</w:t>
      </w:r>
    </w:p>
    <w:p>
      <w:pPr>
        <w:ind w:firstLine="560" w:firstLineChars="200"/>
        <w:rPr>
          <w:rFonts w:eastAsia="仿宋_GB2312"/>
          <w:sz w:val="28"/>
          <w:szCs w:val="28"/>
        </w:rPr>
      </w:pPr>
      <w:r>
        <w:rPr>
          <w:rFonts w:hint="eastAsia" w:eastAsia="楷体_GB2312"/>
          <w:b/>
          <w:bCs/>
          <w:sz w:val="28"/>
          <w:szCs w:val="28"/>
        </w:rPr>
        <w:t>3.</w:t>
      </w:r>
      <w:r>
        <w:rPr>
          <w:rFonts w:eastAsia="楷体_GB2312"/>
          <w:b/>
          <w:bCs/>
          <w:sz w:val="28"/>
          <w:szCs w:val="28"/>
        </w:rPr>
        <w:t>其他项目支出（除</w:t>
      </w:r>
      <w:r>
        <w:rPr>
          <w:rFonts w:hint="eastAsia"/>
          <w:b/>
          <w:bCs/>
          <w:sz w:val="28"/>
          <w:szCs w:val="28"/>
        </w:rPr>
        <w:t>州</w:t>
      </w:r>
      <w:r>
        <w:rPr>
          <w:rFonts w:eastAsia="楷体_GB2312"/>
          <w:b/>
          <w:bCs/>
          <w:sz w:val="28"/>
          <w:szCs w:val="28"/>
        </w:rPr>
        <w:t>级专项资金以外）绩效</w:t>
      </w:r>
      <w:r>
        <w:rPr>
          <w:rFonts w:hint="eastAsia" w:eastAsia="楷体_GB2312"/>
          <w:b/>
          <w:bCs/>
          <w:sz w:val="28"/>
          <w:szCs w:val="28"/>
        </w:rPr>
        <w:t>目标：</w:t>
      </w:r>
      <w:r>
        <w:rPr>
          <w:rFonts w:hint="eastAsia" w:eastAsia="仿宋_GB2312"/>
          <w:sz w:val="28"/>
          <w:szCs w:val="28"/>
        </w:rPr>
        <w:t>完成食品安全抽样检验工作，突出重点食品监管、开展专项整治，组织对食品企业的现场检查，提高食品生产、经营许可审查质量，开展食品安全宣传周活动，分级对全州基层监管队伍进行专业知识培训，提高应急能力水平和基层装备配备水平；做好医疗器械、药品、化妆品的安全监管，保障</w:t>
      </w:r>
      <w:r>
        <w:rPr>
          <w:rFonts w:eastAsia="仿宋_GB2312"/>
          <w:sz w:val="28"/>
          <w:szCs w:val="28"/>
        </w:rPr>
        <w:t>人民群众用药安全有效</w:t>
      </w:r>
      <w:r>
        <w:rPr>
          <w:rFonts w:hint="eastAsia" w:eastAsia="仿宋_GB2312"/>
          <w:sz w:val="28"/>
          <w:szCs w:val="28"/>
        </w:rPr>
        <w:t>。</w:t>
      </w:r>
    </w:p>
    <w:p>
      <w:pPr>
        <w:spacing w:line="600" w:lineRule="exact"/>
        <w:ind w:firstLine="640" w:firstLineChars="200"/>
        <w:rPr>
          <w:rFonts w:eastAsia="黑体"/>
          <w:b/>
          <w:sz w:val="32"/>
          <w:szCs w:val="32"/>
        </w:rPr>
      </w:pPr>
      <w:r>
        <w:rPr>
          <w:rFonts w:eastAsia="黑体"/>
          <w:b/>
          <w:sz w:val="32"/>
          <w:szCs w:val="32"/>
        </w:rPr>
        <w:t>二、一般公共预算支出情况</w:t>
      </w:r>
    </w:p>
    <w:p>
      <w:pPr>
        <w:spacing w:line="600" w:lineRule="exact"/>
        <w:ind w:firstLine="643"/>
        <w:rPr>
          <w:rFonts w:eastAsia="楷体_GB2312"/>
          <w:b/>
          <w:bCs/>
          <w:sz w:val="32"/>
          <w:szCs w:val="32"/>
        </w:rPr>
      </w:pPr>
      <w:r>
        <w:rPr>
          <w:rFonts w:eastAsia="楷体_GB2312"/>
          <w:b/>
          <w:bCs/>
          <w:sz w:val="32"/>
          <w:szCs w:val="32"/>
        </w:rPr>
        <w:t>（一）基本支出情</w:t>
      </w:r>
      <w:r>
        <w:rPr>
          <w:rFonts w:hint="eastAsia" w:eastAsia="楷体_GB2312"/>
          <w:b/>
          <w:bCs/>
          <w:sz w:val="32"/>
          <w:szCs w:val="32"/>
        </w:rPr>
        <w:t>况</w:t>
      </w:r>
    </w:p>
    <w:p>
      <w:pPr>
        <w:pStyle w:val="14"/>
        <w:widowControl/>
        <w:spacing w:line="540" w:lineRule="exact"/>
        <w:ind w:firstLine="560"/>
        <w:rPr>
          <w:rFonts w:hint="eastAsia" w:ascii="仿宋_GB2312" w:hAnsi="Times New Roman" w:eastAsia="仿宋_GB2312"/>
          <w:sz w:val="28"/>
          <w:szCs w:val="28"/>
        </w:rPr>
      </w:pPr>
      <w:r>
        <w:rPr>
          <w:rFonts w:hint="eastAsia" w:ascii="仿宋_GB2312" w:hAnsi="Times New Roman" w:eastAsia="仿宋_GB2312"/>
          <w:sz w:val="28"/>
          <w:szCs w:val="28"/>
        </w:rPr>
        <w:t>基本支出用于为保障机构正常运转、完成日常工作任务而发生的支出，包括人员经费和日常公用经费。</w:t>
      </w:r>
    </w:p>
    <w:p>
      <w:pPr>
        <w:pStyle w:val="14"/>
        <w:widowControl/>
        <w:spacing w:line="540" w:lineRule="exact"/>
        <w:ind w:firstLine="560"/>
        <w:rPr>
          <w:rFonts w:hint="eastAsia" w:ascii="仿宋_GB2312" w:hAnsi="楷体" w:eastAsia="仿宋_GB2312"/>
          <w:bCs/>
          <w:sz w:val="28"/>
          <w:szCs w:val="28"/>
        </w:rPr>
      </w:pPr>
      <w:r>
        <w:rPr>
          <w:rFonts w:hint="eastAsia" w:ascii="仿宋_GB2312" w:hAnsi="Times New Roman" w:eastAsia="仿宋_GB2312"/>
          <w:sz w:val="28"/>
          <w:szCs w:val="28"/>
        </w:rPr>
        <w:t>1、2020年基本支出部门预算批复数为4400.91万元，基本支出年初结转和结余998.34万元，二者合计数为5399.25万元；部门决算基本支出合计5839.72万元，其中</w:t>
      </w:r>
      <w:r>
        <w:rPr>
          <w:rFonts w:hint="eastAsia" w:ascii="仿宋_GB2312" w:hAnsi="楷体" w:eastAsia="仿宋_GB2312"/>
          <w:bCs/>
          <w:sz w:val="28"/>
          <w:szCs w:val="28"/>
        </w:rPr>
        <w:t>人员经费4974.50万元、日常公用经费865.22万元。本年基本支出追加预算1438.81万元均为人员经费（工资调整、奖励金及抚恤金等）。</w:t>
      </w:r>
    </w:p>
    <w:p>
      <w:pPr>
        <w:pStyle w:val="14"/>
        <w:widowControl/>
        <w:spacing w:line="540" w:lineRule="exact"/>
        <w:ind w:firstLine="560"/>
        <w:rPr>
          <w:rFonts w:hint="eastAsia" w:ascii="仿宋_GB2312" w:hAnsi="Times New Roman" w:eastAsia="仿宋_GB2312"/>
          <w:sz w:val="28"/>
          <w:szCs w:val="28"/>
        </w:rPr>
      </w:pPr>
      <w:r>
        <w:rPr>
          <w:rFonts w:hint="eastAsia" w:ascii="仿宋_GB2312" w:hAnsi="楷体" w:eastAsia="仿宋_GB2312"/>
          <w:bCs/>
          <w:sz w:val="28"/>
          <w:szCs w:val="28"/>
        </w:rPr>
        <w:t>2、2020年“三公”经费部门预算批复数为183.70万元，其中公务用车购置及运行维护费92万元、公务接待费917万元；全年“三公”经费决算数47.55万元，其中：公务用车购置及运行维护费34.54万元，均为公务用车运行维护费，完成年初预算的37.54%，主要原因为现有公车19台严格执行公务用车改革节约油耗及维修费制度、实行定点加油及维修；公务接待费13.01万元，完成年初预算的27.36%，节约的原因主要为我局严格按照中央“八项规定”控制接待人数和标准，全年共接待268批次、1092人次。</w:t>
      </w:r>
    </w:p>
    <w:p>
      <w:pPr>
        <w:spacing w:line="600" w:lineRule="exact"/>
        <w:ind w:firstLine="643"/>
        <w:rPr>
          <w:rFonts w:eastAsia="楷体_GB2312"/>
          <w:b/>
          <w:bCs/>
          <w:sz w:val="32"/>
          <w:szCs w:val="32"/>
        </w:rPr>
      </w:pPr>
      <w:r>
        <w:rPr>
          <w:rFonts w:eastAsia="楷体_GB2312"/>
          <w:b/>
          <w:bCs/>
          <w:sz w:val="32"/>
          <w:szCs w:val="32"/>
        </w:rPr>
        <w:t>（二）项目支出情</w:t>
      </w:r>
      <w:r>
        <w:rPr>
          <w:rFonts w:hint="eastAsia" w:cs="宋体"/>
          <w:b/>
          <w:bCs/>
          <w:sz w:val="32"/>
          <w:szCs w:val="32"/>
        </w:rPr>
        <w:t>况</w:t>
      </w:r>
    </w:p>
    <w:p>
      <w:pPr>
        <w:widowControl/>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2020年度我局项目支出共计1077.81万元，年初结转和结余1126.78万元，年末结转和结余1406.77万元。</w:t>
      </w:r>
      <w:r>
        <w:rPr>
          <w:rFonts w:hint="eastAsia" w:ascii="仿宋_GB2312" w:hAnsi="仿宋" w:eastAsia="仿宋_GB2312" w:cs="仿宋"/>
          <w:sz w:val="28"/>
          <w:szCs w:val="28"/>
        </w:rPr>
        <w:t>主要用于市场主体管理、市场监管执法、质量认证认可、国家知识产权战略、特种设备监管、药品监管、医疗器械监管、化妆品监管、食品药品监管抽检等方面，</w:t>
      </w:r>
      <w:r>
        <w:rPr>
          <w:rFonts w:hint="eastAsia" w:ascii="仿宋_GB2312" w:eastAsia="仿宋_GB2312"/>
          <w:sz w:val="28"/>
          <w:szCs w:val="28"/>
        </w:rPr>
        <w:t>其中资本性支出214.20万元，主要用于： 房屋建筑物购建（州食药所实验室检验大楼修建）108.27万元、办公设备购置费60.33万元、专用设备购置费40.66万元、其他资本性支出1.53万元。</w:t>
      </w:r>
    </w:p>
    <w:p>
      <w:pPr>
        <w:spacing w:line="600" w:lineRule="exact"/>
        <w:ind w:firstLine="640"/>
        <w:rPr>
          <w:rFonts w:hint="eastAsia"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政府性基金预算支出情况</w:t>
      </w:r>
    </w:p>
    <w:p>
      <w:pPr>
        <w:spacing w:line="600" w:lineRule="exact"/>
        <w:ind w:firstLine="640"/>
        <w:rPr>
          <w:rFonts w:hint="eastAsia" w:ascii="仿宋_GB2312" w:eastAsia="仿宋_GB2312"/>
          <w:sz w:val="28"/>
          <w:szCs w:val="28"/>
        </w:rPr>
      </w:pPr>
      <w:r>
        <w:rPr>
          <w:rFonts w:hint="eastAsia" w:ascii="仿宋_GB2312" w:eastAsia="仿宋_GB2312"/>
          <w:sz w:val="28"/>
          <w:szCs w:val="28"/>
        </w:rPr>
        <w:t>本单位本年无政府性基金预算及支出。</w:t>
      </w:r>
    </w:p>
    <w:p>
      <w:pPr>
        <w:spacing w:line="600" w:lineRule="exact"/>
        <w:ind w:firstLine="640"/>
        <w:rPr>
          <w:rFonts w:hint="eastAsia" w:ascii="仿宋_GB2312" w:eastAsia="仿宋_GB2312"/>
          <w:b/>
          <w:sz w:val="32"/>
          <w:szCs w:val="32"/>
        </w:rPr>
      </w:pPr>
      <w:r>
        <w:rPr>
          <w:rFonts w:ascii="仿宋_GB2312" w:eastAsia="仿宋_GB2312"/>
          <w:b/>
          <w:sz w:val="32"/>
          <w:szCs w:val="32"/>
        </w:rPr>
        <w:t>四、国有资本经营预算支出情况</w:t>
      </w:r>
    </w:p>
    <w:p>
      <w:pPr>
        <w:spacing w:line="600" w:lineRule="exact"/>
        <w:ind w:firstLine="640"/>
        <w:rPr>
          <w:rFonts w:hint="eastAsia" w:ascii="仿宋_GB2312" w:eastAsia="仿宋_GB2312"/>
          <w:b/>
          <w:sz w:val="28"/>
          <w:szCs w:val="28"/>
        </w:rPr>
      </w:pPr>
      <w:r>
        <w:rPr>
          <w:rFonts w:hint="eastAsia" w:ascii="仿宋_GB2312" w:eastAsia="仿宋_GB2312"/>
          <w:sz w:val="28"/>
          <w:szCs w:val="28"/>
        </w:rPr>
        <w:t>本单位本年无国有资本经营预算及支出。</w:t>
      </w:r>
    </w:p>
    <w:p>
      <w:pPr>
        <w:spacing w:line="600" w:lineRule="exact"/>
        <w:ind w:firstLine="640"/>
        <w:rPr>
          <w:rFonts w:ascii="仿宋_GB2312" w:eastAsia="仿宋_GB2312"/>
          <w:b/>
          <w:sz w:val="32"/>
          <w:szCs w:val="32"/>
        </w:rPr>
      </w:pPr>
      <w:r>
        <w:rPr>
          <w:rFonts w:ascii="仿宋_GB2312" w:eastAsia="仿宋_GB2312"/>
          <w:b/>
          <w:sz w:val="32"/>
          <w:szCs w:val="32"/>
        </w:rPr>
        <w:t>五、社会保险基金预算支出情况</w:t>
      </w:r>
    </w:p>
    <w:p>
      <w:pPr>
        <w:widowControl/>
        <w:spacing w:line="540" w:lineRule="exact"/>
        <w:ind w:firstLine="560" w:firstLineChars="200"/>
        <w:jc w:val="left"/>
        <w:rPr>
          <w:rFonts w:hint="eastAsia" w:ascii="仿宋_GB2312" w:eastAsia="仿宋_GB2312"/>
          <w:b/>
          <w:sz w:val="28"/>
          <w:szCs w:val="28"/>
        </w:rPr>
      </w:pPr>
      <w:r>
        <w:rPr>
          <w:rFonts w:hint="eastAsia" w:ascii="仿宋_GB2312" w:eastAsia="仿宋_GB2312"/>
          <w:sz w:val="28"/>
          <w:szCs w:val="28"/>
        </w:rPr>
        <w:t>本单位本年无社会保险基金预算及支出。</w:t>
      </w:r>
    </w:p>
    <w:p>
      <w:pPr>
        <w:widowControl/>
        <w:spacing w:line="540" w:lineRule="exact"/>
        <w:ind w:firstLine="640" w:firstLineChars="200"/>
        <w:jc w:val="left"/>
        <w:rPr>
          <w:rFonts w:hint="eastAsia" w:ascii="仿宋_GB2312" w:eastAsia="仿宋_GB2312"/>
          <w:b/>
          <w:sz w:val="32"/>
          <w:szCs w:val="32"/>
        </w:rPr>
      </w:pPr>
      <w:r>
        <w:rPr>
          <w:rFonts w:hint="eastAsia" w:ascii="仿宋_GB2312" w:eastAsia="仿宋_GB2312"/>
          <w:b/>
          <w:sz w:val="32"/>
          <w:szCs w:val="32"/>
        </w:rPr>
        <w:t>六、部门整体支出绩效情况</w:t>
      </w:r>
    </w:p>
    <w:p>
      <w:pPr>
        <w:pStyle w:val="15"/>
        <w:ind w:firstLine="560"/>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2020年,湘西州市场监督管理局在州委、州政府和省局的正确领导下，围绕州委、州政府中心工作和省局工作部署，忠诚履职、勇于担当，统筹推进疫情防控和经济社会发展，全面完成了年度工作任务目标。具体表现在：</w:t>
      </w:r>
    </w:p>
    <w:p>
      <w:pPr>
        <w:pStyle w:val="15"/>
        <w:spacing w:line="530" w:lineRule="atLeast"/>
        <w:ind w:firstLine="640"/>
        <w:rPr>
          <w:rFonts w:ascii="仿宋_GB2312" w:eastAsia="仿宋_GB2312"/>
          <w:b/>
          <w:bCs/>
          <w:sz w:val="32"/>
          <w:szCs w:val="32"/>
        </w:rPr>
      </w:pPr>
      <w:r>
        <w:rPr>
          <w:rFonts w:hint="eastAsia" w:ascii="仿宋_GB2312" w:eastAsia="仿宋_GB2312"/>
          <w:b/>
          <w:bCs/>
          <w:sz w:val="32"/>
          <w:szCs w:val="32"/>
        </w:rPr>
        <w:t>1、助力复工复产，复苏经济发展</w:t>
      </w:r>
    </w:p>
    <w:p>
      <w:pPr>
        <w:pStyle w:val="15"/>
        <w:ind w:firstLine="560"/>
        <w:rPr>
          <w:rFonts w:hint="eastAsia" w:ascii="仿宋_GB2312" w:hAnsi="Times New Roman" w:eastAsia="仿宋_GB2312" w:cs="Times New Roman"/>
          <w:kern w:val="2"/>
          <w:sz w:val="28"/>
          <w:szCs w:val="28"/>
        </w:rPr>
      </w:pPr>
      <w:r>
        <w:rPr>
          <w:rFonts w:hint="eastAsia" w:ascii="仿宋_GB2312" w:eastAsia="仿宋_GB2312"/>
          <w:b/>
          <w:bCs/>
          <w:sz w:val="32"/>
          <w:szCs w:val="32"/>
        </w:rPr>
        <w:t>一是强化政策支持的广度。</w:t>
      </w:r>
      <w:r>
        <w:rPr>
          <w:rFonts w:hint="eastAsia" w:ascii="仿宋_GB2312" w:hAnsi="Times New Roman" w:eastAsia="仿宋_GB2312" w:cs="Times New Roman"/>
          <w:kern w:val="2"/>
          <w:sz w:val="28"/>
          <w:szCs w:val="28"/>
        </w:rPr>
        <w:t>全面贯州委州政府和省局关于疫情防控期间支持企业促生产、稳发展的系列政策举措，开通绿色通道，对药品、食品、工业品等证照到期和特种设备定期检验，实行延期或备案，为全州各类市场主体促生产、保经营、稳发展、渡难关提供各类政策支持。</w:t>
      </w:r>
      <w:r>
        <w:rPr>
          <w:rFonts w:hint="eastAsia" w:ascii="仿宋_GB2312" w:eastAsia="仿宋_GB2312"/>
          <w:b/>
          <w:bCs/>
          <w:sz w:val="32"/>
          <w:szCs w:val="32"/>
        </w:rPr>
        <w:t>二是优化服务企业的温度。</w:t>
      </w:r>
      <w:r>
        <w:rPr>
          <w:rFonts w:hint="eastAsia" w:ascii="仿宋_GB2312" w:eastAsia="仿宋_GB2312"/>
          <w:sz w:val="32"/>
          <w:szCs w:val="32"/>
        </w:rPr>
        <w:t>对</w:t>
      </w:r>
      <w:r>
        <w:rPr>
          <w:rFonts w:hint="eastAsia" w:ascii="仿宋_GB2312" w:hAnsi="Times New Roman" w:eastAsia="仿宋_GB2312" w:cs="Times New Roman"/>
          <w:kern w:val="2"/>
          <w:sz w:val="28"/>
          <w:szCs w:val="28"/>
        </w:rPr>
        <w:t>湘西机场道面工程检测、张吉怀铁路搅拌站等州内所有重点工程项目设备主动上门开展检定服务。对酒鬼酒、雪花啤酒、湘泉药业等10家重点企业的复工复产和全州1024所学校复学全程指导。为232家企业提供技术支持，免费检测产品255批次，累计减免检定校准费用278.25万元，检定校准计量器具12527（台）件。</w:t>
      </w:r>
      <w:r>
        <w:rPr>
          <w:rFonts w:hint="eastAsia" w:ascii="仿宋_GB2312" w:eastAsia="仿宋_GB2312"/>
          <w:b/>
          <w:bCs/>
          <w:sz w:val="32"/>
          <w:szCs w:val="32"/>
        </w:rPr>
        <w:t>三是加大破解融资难的力度。</w:t>
      </w:r>
      <w:r>
        <w:rPr>
          <w:rFonts w:hint="eastAsia" w:ascii="仿宋_GB2312" w:hAnsi="Times New Roman" w:eastAsia="仿宋_GB2312" w:cs="Times New Roman"/>
          <w:kern w:val="2"/>
          <w:sz w:val="28"/>
          <w:szCs w:val="28"/>
        </w:rPr>
        <w:t>联合省信用联社湘西办事处开展“党建共创、三结三促”行动，共为1.03万户“小个专”企业投放信贷61.59亿元。</w:t>
      </w:r>
    </w:p>
    <w:p>
      <w:pPr>
        <w:pStyle w:val="15"/>
        <w:spacing w:line="530" w:lineRule="atLeast"/>
        <w:ind w:firstLine="645"/>
        <w:rPr>
          <w:rFonts w:hint="eastAsia" w:ascii="仿宋_GB2312" w:eastAsia="仿宋_GB2312"/>
          <w:b/>
          <w:bCs/>
          <w:sz w:val="32"/>
          <w:szCs w:val="32"/>
        </w:rPr>
      </w:pPr>
      <w:r>
        <w:rPr>
          <w:rFonts w:hint="eastAsia" w:ascii="仿宋_GB2312" w:eastAsia="仿宋_GB2312"/>
          <w:b/>
          <w:bCs/>
          <w:sz w:val="32"/>
          <w:szCs w:val="32"/>
        </w:rPr>
        <w:t>3、全面深化改革，优化营商环境</w:t>
      </w:r>
    </w:p>
    <w:p>
      <w:pPr>
        <w:pStyle w:val="15"/>
        <w:spacing w:line="530" w:lineRule="atLeast"/>
        <w:ind w:firstLine="640"/>
        <w:rPr>
          <w:rFonts w:hint="eastAsia" w:ascii="仿宋_GB2312" w:hAnsi="Times New Roman" w:eastAsia="仿宋_GB2312" w:cs="Times New Roman"/>
          <w:kern w:val="2"/>
          <w:sz w:val="28"/>
          <w:szCs w:val="28"/>
        </w:rPr>
      </w:pPr>
      <w:r>
        <w:rPr>
          <w:rFonts w:hint="eastAsia" w:ascii="仿宋_GB2312" w:eastAsia="仿宋_GB2312"/>
          <w:b/>
          <w:bCs/>
          <w:sz w:val="32"/>
          <w:szCs w:val="32"/>
        </w:rPr>
        <w:t>一是深入推进商事制度改革。</w:t>
      </w:r>
      <w:r>
        <w:rPr>
          <w:rFonts w:hint="eastAsia" w:ascii="仿宋_GB2312" w:hAnsi="Times New Roman" w:eastAsia="仿宋_GB2312" w:cs="Times New Roman"/>
          <w:kern w:val="2"/>
          <w:sz w:val="28"/>
          <w:szCs w:val="28"/>
        </w:rPr>
        <w:t>通过全面落实“网上办、一次办、帮代办”，企业开办时间向2个工作日目标推进。电子营业执照逐步推广运用，服务满意率达到96%；第一批“证照分离”106项涉企行政审批事项实现全覆盖，行政许可事项压缩了23%；扩大简易注销适用范围，公告时间由45天压缩至20天，企业注销登记在1个工作日办结。</w:t>
      </w:r>
      <w:r>
        <w:rPr>
          <w:rFonts w:hint="eastAsia" w:ascii="仿宋_GB2312" w:eastAsia="仿宋_GB2312"/>
          <w:b/>
          <w:bCs/>
          <w:sz w:val="32"/>
          <w:szCs w:val="32"/>
        </w:rPr>
        <w:t>二是持续优化惠企利民服务。</w:t>
      </w:r>
      <w:r>
        <w:rPr>
          <w:rFonts w:hint="eastAsia" w:ascii="仿宋_GB2312" w:eastAsia="仿宋_GB2312"/>
          <w:sz w:val="32"/>
          <w:szCs w:val="32"/>
        </w:rPr>
        <w:t>先</w:t>
      </w:r>
      <w:r>
        <w:rPr>
          <w:rFonts w:hint="eastAsia" w:ascii="仿宋_GB2312" w:hAnsi="Times New Roman" w:eastAsia="仿宋_GB2312" w:cs="Times New Roman"/>
          <w:kern w:val="2"/>
          <w:sz w:val="28"/>
          <w:szCs w:val="28"/>
        </w:rPr>
        <w:t>后在湘西州经开区和全州试点推行《食品经营许可证》、《特种设备作业人员资格证》“告知承诺制”，分别由法定20个工作日和10个工作日办结缩短为当日办结</w:t>
      </w:r>
      <w:r>
        <w:rPr>
          <w:rFonts w:hint="eastAsia" w:ascii="仿宋_GB2312" w:eastAsia="仿宋_GB2312"/>
          <w:sz w:val="32"/>
          <w:szCs w:val="32"/>
        </w:rPr>
        <w:t>。</w:t>
      </w:r>
      <w:r>
        <w:rPr>
          <w:rFonts w:hint="eastAsia" w:ascii="仿宋_GB2312" w:eastAsia="仿宋_GB2312"/>
          <w:b/>
          <w:bCs/>
          <w:sz w:val="32"/>
          <w:szCs w:val="32"/>
        </w:rPr>
        <w:t>三是全面推进监管机制改革。</w:t>
      </w:r>
      <w:r>
        <w:rPr>
          <w:rFonts w:hint="eastAsia" w:ascii="仿宋_GB2312" w:hAnsi="Times New Roman" w:eastAsia="仿宋_GB2312" w:cs="Times New Roman"/>
          <w:kern w:val="2"/>
          <w:sz w:val="28"/>
          <w:szCs w:val="28"/>
        </w:rPr>
        <w:t>稳步推进“互联网+监管”工作，跨部门联合“双随机、一公开”监管平台上线运行。加强事中事后监管，全面贯彻实施信用激励和失信联合惩戒，提升国家信用信息监管平台应用率。截至11月，全州2019年度企业年报率达87%，超额完成省局下达年度目标任务。新增列入经营异常名录2770户，新增列入严重违法失信企业619户，累计吊销“僵尸企业”8769户；协助法院司法冻结146起，冻结股权14.59亿。营商环境的进一步优化，带动市场主体数的快速增长。截至11月30日，全州累计各类市场主体突破14万户，达到14.75万户，同比增长12.32%。新增各类市场主体2.14万户。</w:t>
      </w:r>
    </w:p>
    <w:p>
      <w:pPr>
        <w:pStyle w:val="15"/>
        <w:spacing w:line="530" w:lineRule="atLeast"/>
        <w:ind w:firstLine="640"/>
        <w:rPr>
          <w:rFonts w:hint="eastAsia" w:ascii="仿宋_GB2312" w:eastAsia="仿宋_GB2312"/>
          <w:b/>
          <w:bCs/>
          <w:sz w:val="32"/>
          <w:szCs w:val="32"/>
        </w:rPr>
      </w:pPr>
      <w:r>
        <w:rPr>
          <w:rFonts w:hint="eastAsia" w:ascii="仿宋_GB2312" w:eastAsia="仿宋_GB2312"/>
          <w:b/>
          <w:bCs/>
          <w:sz w:val="32"/>
          <w:szCs w:val="32"/>
        </w:rPr>
        <w:t>4、坚持依法行政，守牢安全底线</w:t>
      </w:r>
    </w:p>
    <w:p>
      <w:pPr>
        <w:pStyle w:val="15"/>
        <w:spacing w:line="530" w:lineRule="atLeast"/>
        <w:ind w:firstLine="645"/>
        <w:rPr>
          <w:rFonts w:hint="eastAsia" w:ascii="Times New Roman" w:hAnsi="Times New Roman" w:eastAsia="仿宋_GB2312" w:cs="Times New Roman"/>
          <w:kern w:val="2"/>
          <w:sz w:val="28"/>
          <w:szCs w:val="28"/>
        </w:rPr>
      </w:pPr>
      <w:r>
        <w:rPr>
          <w:rFonts w:hint="eastAsia" w:ascii="仿宋_GB2312" w:eastAsia="仿宋_GB2312"/>
          <w:b/>
          <w:bCs/>
          <w:sz w:val="28"/>
          <w:szCs w:val="28"/>
        </w:rPr>
        <w:t>一是筑牢“四品一械”安全防线。</w:t>
      </w:r>
      <w:r>
        <w:rPr>
          <w:rFonts w:hint="eastAsia" w:ascii="仿宋_GB2312" w:eastAsia="仿宋_GB2312"/>
          <w:sz w:val="32"/>
          <w:szCs w:val="32"/>
        </w:rPr>
        <w:t>牢固树立“强执法、保安全”监管理念，切实强化安全风险管控。强化从田间地头到餐桌各环节链条管理，深入开展</w:t>
      </w:r>
      <w:r>
        <w:rPr>
          <w:rFonts w:hint="eastAsia" w:ascii="仿宋" w:hAnsi="仿宋" w:eastAsia="仿宋"/>
          <w:sz w:val="32"/>
          <w:szCs w:val="32"/>
        </w:rPr>
        <w:t>“</w:t>
      </w:r>
      <w:r>
        <w:rPr>
          <w:rFonts w:hint="eastAsia" w:ascii="Times New Roman" w:hAnsi="Times New Roman" w:eastAsia="仿宋_GB2312" w:cs="Times New Roman"/>
          <w:kern w:val="2"/>
          <w:sz w:val="28"/>
          <w:szCs w:val="28"/>
        </w:rPr>
        <w:t>年关守护（2020）”、食品安全隐患排查整治“百日行动”、 网络食品安全“网剑”行动、“护苗”、“护老”、“固体饮料”、 冷链食品等12个专项行动。共查处食品违法案件351件，罚没385.79万元。全州食品及食用农产品抽检任务数8626批次，完成食品抽检516批次，食用农产品抽检8110 批次，抽检率达 100%。推进“明厨亮灶”工程，实现州直管校园食堂“明厨亮灶”的全覆盖。组织开展中药饮片质量集中整治工作和药品、化妆品、医疗器械的风险防控百日集中整治行动，全面实现了监督检查企业的100%全覆盖。推动开展全州药品信息化追溯体系建设和迎接疫苗国家监管体系评估工作，在永顺县试点搭建药品智能监控平台。强化不良反应中心监测，上报药品、化妆品不良反应和医疗器械、药物滥用报告共计3845份，超额完成省定年度任务。全州未发生源发性、系统性、区域性的食品药品安全事故。</w:t>
      </w:r>
      <w:r>
        <w:rPr>
          <w:rFonts w:hint="eastAsia" w:ascii="仿宋_GB2312" w:eastAsia="仿宋_GB2312"/>
          <w:b/>
          <w:bCs/>
          <w:sz w:val="28"/>
          <w:szCs w:val="28"/>
        </w:rPr>
        <w:t>二是严抓产品质量安全</w:t>
      </w:r>
      <w:r>
        <w:rPr>
          <w:rFonts w:hint="eastAsia" w:ascii="Times New Roman" w:hAnsi="Times New Roman" w:eastAsia="仿宋_GB2312" w:cs="Times New Roman"/>
          <w:kern w:val="2"/>
          <w:sz w:val="28"/>
          <w:szCs w:val="28"/>
        </w:rPr>
        <w:t>。推行生产经营企业“质量承诺制”。对汽柴油、烟花爆竹、儿童学生用品等民生重点消费品产品加强质量抽检和市场专项整治。截至目前，已完成538个产品批次，完成率109%，超额完成任务。配合省局省级产品质量监督检查抽查，发现53个批次品种产品质量违法行为，依法整改53件，抽查不合格后处理完成率100%。</w:t>
      </w:r>
      <w:r>
        <w:rPr>
          <w:rFonts w:hint="eastAsia" w:ascii="仿宋_GB2312" w:eastAsia="仿宋_GB2312"/>
          <w:b/>
          <w:bCs/>
          <w:sz w:val="28"/>
          <w:szCs w:val="28"/>
        </w:rPr>
        <w:t>三是严守特种设备安全。</w:t>
      </w:r>
      <w:r>
        <w:rPr>
          <w:rFonts w:hint="eastAsia" w:ascii="Times New Roman" w:hAnsi="Times New Roman" w:eastAsia="仿宋_GB2312" w:cs="Times New Roman"/>
          <w:kern w:val="2"/>
          <w:sz w:val="28"/>
          <w:szCs w:val="28"/>
        </w:rPr>
        <w:t>州委书记叶红专，常务副州长刘珍瑜，分管副州长向清平多次现场调研并听取特种设备安全工作汇报。以吉首市为试点，积极开展电梯应急平台建设，建立了电梯应急救援指挥中心，组建救援队伍。以基层所(分局)为基本网格单元，建立“监管有网、网中有格、格中有人、人有职责”的四级网格化安全监管体系。对全州30余万只液化石油气钢瓶纳入信息化管理平台系统，初步建成气瓶安全监管体系。试点推行特种设备安全责任险。举办特种设备安全知识进校园和“安全乘梯幸福回家”校园绘画比赛活动。加强对特种设备人员的培训工作。组织开展特种设备安全专项治理，共检查企业721家，检查设备5587台，排查治理安全隐患870台。</w:t>
      </w:r>
    </w:p>
    <w:p>
      <w:pPr>
        <w:pStyle w:val="15"/>
        <w:spacing w:line="530" w:lineRule="atLeast"/>
        <w:ind w:firstLine="645"/>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截至11月，全州共查处案件1213件，其中州本级共立案查处310件，办结297件，行政处罚案件办结率95.81%。办理24件行政指导案件，占比8.08%。</w:t>
      </w:r>
    </w:p>
    <w:p>
      <w:pPr>
        <w:pStyle w:val="15"/>
        <w:spacing w:line="530" w:lineRule="atLeast"/>
        <w:ind w:firstLine="640"/>
        <w:rPr>
          <w:rFonts w:hint="eastAsia" w:ascii="仿宋_GB2312" w:eastAsia="仿宋_GB2312"/>
          <w:b/>
          <w:bCs/>
          <w:sz w:val="32"/>
          <w:szCs w:val="32"/>
        </w:rPr>
      </w:pPr>
      <w:r>
        <w:rPr>
          <w:rFonts w:hint="eastAsia" w:ascii="仿宋_GB2312" w:eastAsia="仿宋_GB2312"/>
          <w:b/>
          <w:bCs/>
          <w:sz w:val="32"/>
          <w:szCs w:val="32"/>
        </w:rPr>
        <w:t>5、严格监管执法，维护市场秩序</w:t>
      </w:r>
    </w:p>
    <w:p>
      <w:pPr>
        <w:pStyle w:val="15"/>
        <w:spacing w:line="530" w:lineRule="atLeast"/>
        <w:ind w:firstLine="640"/>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一是加强价费执法监管。加强涉企收费、转供电、商业银行收费等重点民生领域和重点行业的收费检查，组织开展中介脱钩清理，严查民生领域价费违法行为，共查处价格违法案件21件。二是聚焦反垄断反不正当竞争执法。加大汽车销售强制保险、燃气具捆绑销售、商业混淆销售酒品等不正当竞争行为查处力度，持续抓好规范直销和打击传销工作。加大反垄断和公平竞争审查力度，共清理文件114件，废止11件，修订6件。三是牵头抓好两项整治。牵头抓好全州旅游市场和广告两个专项整治，对霸王条款、欺客宰客等违法违规行为进行了重拳打击，对户外广告标语标牌进行逐一规范，促进了全域旅游的提质升级，受到了州委州政府的充分肯定。四是加强消费维权保护。开展了3·15国际消费者权益日系列活动，销毁价值近175余万元的假冒伪劣产品。全州12315平台受理咨询投诉举报8197件，同比增长24.73%，处理消费争议金额215.76万元，为消费者挽回经济损失156.35万元。五是加强专项执法整治。建立集贸市场和超市电子秤动态监管机制。开展加油站计量专项监督巡查和检查。累计巡查加油站116家次，检查燃油加油机364台。组织开展口罩、防护服等防疫用品领域认证监管和污染防治攻坚“夏季攻势”认证专项整治行动和知识产权 “铁拳” 执法行动，积极开展打击市场销售长江流域重点水域非法捕捞渔获专项行动。</w:t>
      </w:r>
    </w:p>
    <w:p>
      <w:pPr>
        <w:pStyle w:val="15"/>
        <w:spacing w:line="530" w:lineRule="atLeast"/>
        <w:ind w:firstLine="640"/>
        <w:rPr>
          <w:rFonts w:hint="eastAsia" w:ascii="仿宋_GB2312" w:eastAsia="仿宋_GB2312"/>
          <w:b/>
          <w:bCs/>
          <w:sz w:val="32"/>
          <w:szCs w:val="32"/>
        </w:rPr>
      </w:pPr>
      <w:r>
        <w:rPr>
          <w:rFonts w:hint="eastAsia" w:ascii="仿宋_GB2312" w:eastAsia="仿宋_GB2312"/>
          <w:b/>
          <w:bCs/>
          <w:sz w:val="32"/>
          <w:szCs w:val="32"/>
        </w:rPr>
        <w:t>6、强化创品夺牌，提升发展质量</w:t>
      </w:r>
    </w:p>
    <w:p>
      <w:pPr>
        <w:pStyle w:val="15"/>
        <w:spacing w:line="530" w:lineRule="atLeast"/>
        <w:ind w:firstLine="640"/>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一是质量强州成效显著。率先在市州层面出台政府质量工作考核实施方案，启动第三届州长质量奖评审工作，持续开展质量提升行动。修订《湘西自治州品牌管理办法》（送审稿），提请十四届州人民政府第70次常务会审议。完成神秘湘西、边城、十八洞三个系列商标保护性注册，“保靖黄金茶”争创驰名商标申报工作全面启动。二是知识产权兴州结出硕果。挂牌成立了湘西州知识产权局。《新型复合棒状镀膜电解锌阳极板研究》通过验收，获得两项国家专利。与吉首大学联合申报研究生创新实践基地并启动开展《黄金抹茶碱液浸泡蒸青护绿的工艺优化》项目研究。酒鬼酒有限公司通过国家知识产权局优势企业复核，弘湘醋业获得国家知识产权局优势企业。全州申报知识产权专项项目21个，获批立项11个，申请专利1017件，申请国外专利（PCT)3件，实现零的突破。以承办湖南省地理标志专用标志启用仪式为契机，大力开展商标兴农、助农、富农建设。古丈毛尖和保靖黄金茶纳入了中欧“100+100”国际地理标志互认互保范围。截至11月，全州一般商品有效商标注册量11595件，同比增加2173件，增长23%。联合扶贫办、驻村办开展的“一村一商标”工程在全州1110个贫困村的覆盖率达95%。三是标准化战略实施有序推进。编制《电解锰中氧含量的测定与等级评定研究》任务项目书。修订《苗族服饰 第二部分：花保式》、《苗族服饰 第三部分：吉泸式》2项湖南省地方标准。《中药饮片泡制规范修订》、《永顺莓茶地方标准研究》、《复方桐叶烧伤油提升标准》获得立项批复。湖南东方红住宅工业有限公司《装配式建筑工业标准化试点》项目通过验收。吉首市湘西烽火苗疆茶旅融合发展农业标准化示范区和保靖县绿色蔬菜产业扶贫农业标准化示范区2项湖南省标准化战略项目均已获批。</w:t>
      </w:r>
    </w:p>
    <w:p>
      <w:pPr>
        <w:spacing w:line="540" w:lineRule="exact"/>
        <w:ind w:firstLine="560" w:firstLineChars="200"/>
        <w:rPr>
          <w:rFonts w:hint="eastAsia" w:eastAsia="仿宋_GB2312"/>
          <w:sz w:val="28"/>
          <w:szCs w:val="28"/>
        </w:rPr>
      </w:pPr>
      <w:r>
        <w:rPr>
          <w:rFonts w:hint="eastAsia" w:eastAsia="仿宋_GB2312"/>
          <w:sz w:val="28"/>
          <w:szCs w:val="28"/>
        </w:rPr>
        <w:t>总之，2020年我局整体工作取得很好成效：荣获：“五个文明”绩效考核执法监督类一类单位、湖南省文明标兵单位”，“湖南省园林式单位”，“全省消费教育指导突出单位”，“全省特种设备安全监察工作优秀单位”，全省安全监管执法排名第一，州政府目标管理优秀单位，全州民族团结进步创建优秀单位，州安全生产和消防工作、信访维稳、美丽湘西建设、平安建设优秀单位等系列荣誉。</w:t>
      </w:r>
    </w:p>
    <w:p>
      <w:pPr>
        <w:spacing w:line="540" w:lineRule="exact"/>
        <w:ind w:firstLine="640" w:firstLineChars="200"/>
        <w:rPr>
          <w:rFonts w:hint="eastAsia" w:eastAsia="黑体"/>
          <w:b/>
          <w:sz w:val="32"/>
          <w:szCs w:val="32"/>
        </w:rPr>
      </w:pPr>
      <w:r>
        <w:rPr>
          <w:rFonts w:hint="eastAsia" w:eastAsia="黑体"/>
          <w:b/>
          <w:sz w:val="32"/>
          <w:szCs w:val="32"/>
        </w:rPr>
        <w:t>七、综合评价情况及评价结论</w:t>
      </w:r>
    </w:p>
    <w:p>
      <w:pPr>
        <w:widowControl/>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附件3州级预算部门整体支出绩效自评表测算，本单位部门整体支出绩效评价得分是91分，评价结果等次为“优”。其中：年度资金总额得分8分、产出指标得分43分、效益指标得分30分、满意度指标得分10分，扣分项目为：年度资金总额执行率为144.29%，满分10分扣2分，是由于本级和上级追加资金较多，其中中央和省局专项经费585万元未纳入年初预算，本级财政发放各种政策性奖励金876万元由财政统一安排预算；质量指标预算完成率75.07%，未达到年初指标值90%以上，满分5分扣2分；时效指标中指标1政府采购率为68.47%，未达到年初指标值90%以上， 满分10分扣5分。</w:t>
      </w:r>
    </w:p>
    <w:p>
      <w:pPr>
        <w:spacing w:line="540" w:lineRule="exact"/>
        <w:ind w:firstLine="640" w:firstLineChars="200"/>
        <w:rPr>
          <w:rFonts w:hint="eastAsia" w:eastAsia="黑体"/>
          <w:b/>
          <w:sz w:val="32"/>
          <w:szCs w:val="32"/>
        </w:rPr>
      </w:pPr>
      <w:r>
        <w:rPr>
          <w:rFonts w:hint="eastAsia" w:eastAsia="黑体"/>
          <w:b/>
          <w:sz w:val="32"/>
          <w:szCs w:val="32"/>
        </w:rPr>
        <w:t>八、主要经验做法、存在的问题及原因分析</w:t>
      </w:r>
    </w:p>
    <w:p>
      <w:pPr>
        <w:widowControl/>
        <w:spacing w:line="540" w:lineRule="exact"/>
        <w:ind w:left="6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1、主要经验做法</w:t>
      </w:r>
    </w:p>
    <w:p>
      <w:pPr>
        <w:widowControl/>
        <w:spacing w:line="540" w:lineRule="exact"/>
        <w:ind w:firstLine="560"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本次自评的目的是了解本单位2020年度财政资金预算支出的绩效状况，为今后预算安排提供决策支持。进一步增强本单位支出管理的责任，优化支出结构，保障更好地履行职责，提高财政资金使用效益，更好的维护社会主义市场经济秩序，</w:t>
      </w:r>
      <w:r>
        <w:rPr>
          <w:rFonts w:hint="eastAsia" w:ascii="仿宋_GB2312" w:hAnsi="宋体" w:eastAsia="仿宋_GB2312" w:cs="宋体"/>
          <w:kern w:val="0"/>
          <w:sz w:val="28"/>
          <w:szCs w:val="28"/>
        </w:rPr>
        <w:t>保护经营者、消费者合法权益</w:t>
      </w:r>
      <w:r>
        <w:rPr>
          <w:rFonts w:hint="eastAsia" w:ascii="仿宋_GB2312" w:hAnsi="仿宋_GB2312" w:eastAsia="仿宋_GB2312" w:cs="仿宋_GB2312"/>
          <w:sz w:val="28"/>
          <w:szCs w:val="28"/>
        </w:rPr>
        <w:t>。通过对2020年度部门整体支出绩效自评，我们认识到，绩效管理不只是财政支出方面，而应更加注重产出及效率，这样，有利于我们强化支出的责任，提高财政资金的使用效益，更好地促进我们履行职责。绩效预算管理也不指是预算部门甚至不只是财政部门的事，各单位、各部门应该共同重视。通过对本单位2020年度的财政资金绩效自评，我们为今后的工作积累了一定的经验。</w:t>
      </w:r>
    </w:p>
    <w:p>
      <w:pPr>
        <w:widowControl/>
        <w:spacing w:line="540" w:lineRule="exact"/>
        <w:ind w:left="600"/>
        <w:jc w:val="left"/>
        <w:rPr>
          <w:rFonts w:hint="eastAsia" w:eastAsia="仿宋_GB2312"/>
          <w:b/>
          <w:sz w:val="28"/>
          <w:szCs w:val="28"/>
        </w:rPr>
      </w:pPr>
      <w:r>
        <w:rPr>
          <w:rFonts w:hint="eastAsia" w:ascii="仿宋_GB2312" w:hAnsi="仿宋_GB2312" w:eastAsia="仿宋_GB2312" w:cs="仿宋_GB2312"/>
          <w:b/>
          <w:bCs/>
          <w:sz w:val="28"/>
          <w:szCs w:val="28"/>
        </w:rPr>
        <w:t>2、存在的主要问题及原因分析</w:t>
      </w:r>
    </w:p>
    <w:p>
      <w:pPr>
        <w:numPr>
          <w:ilvl w:val="0"/>
          <w:numId w:val="2"/>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年初预算数较低，年初编制的预算不够精确，年内预算追加较大，预算执行率较低。</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（2）部分科室和人员对绩效管理重视程度不够， 绩效管理观念淡漠。</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eastAsia="仿宋_GB2312"/>
          <w:sz w:val="28"/>
          <w:szCs w:val="28"/>
        </w:rPr>
        <w:t>预算执行缺乏强有力的约束机制。2020年度本单位预算完成率</w:t>
      </w:r>
      <w:r>
        <w:rPr>
          <w:rFonts w:hint="eastAsia" w:eastAsia="仿宋_GB2312"/>
          <w:sz w:val="28"/>
          <w:szCs w:val="28"/>
        </w:rPr>
        <w:t>75.07</w:t>
      </w:r>
      <w:r>
        <w:rPr>
          <w:rFonts w:hint="eastAsia" w:ascii="仿宋_GB2312" w:eastAsia="仿宋_GB2312"/>
          <w:sz w:val="28"/>
          <w:szCs w:val="28"/>
        </w:rPr>
        <w:t>%，缺乏强有力的约束机制，预算执行不到位。</w:t>
      </w:r>
    </w:p>
    <w:p>
      <w:pPr>
        <w:widowControl/>
        <w:spacing w:line="540" w:lineRule="exact"/>
        <w:ind w:firstLine="640" w:firstLineChars="200"/>
        <w:jc w:val="left"/>
        <w:rPr>
          <w:rFonts w:hint="eastAsia" w:eastAsia="黑体"/>
          <w:b/>
          <w:sz w:val="32"/>
          <w:szCs w:val="32"/>
        </w:rPr>
      </w:pPr>
      <w:r>
        <w:rPr>
          <w:rFonts w:hint="eastAsia" w:eastAsia="黑体"/>
          <w:b/>
          <w:sz w:val="32"/>
          <w:szCs w:val="32"/>
        </w:rPr>
        <w:t>九、有关建议</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（1）建议加强政策学习，提高思想认识。</w:t>
      </w:r>
      <w:r>
        <w:rPr>
          <w:rFonts w:hint="eastAsia" w:ascii="仿宋_GB2312" w:hAnsi="仿宋_GB2312" w:eastAsia="仿宋_GB2312" w:cs="仿宋_GB2312"/>
          <w:sz w:val="28"/>
          <w:szCs w:val="28"/>
        </w:rPr>
        <w:t>组织单位人员认真学习《预算法》等相关法规、制度，提高单位领导对全面预算管理、绩效管理的重视程度，增强财务人员的预算意识，坚持先有预算、后有支出，没有预算不得支出的支出理念。</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（2）建议细化预算指标，提高预算科学性</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widowControl/>
        <w:spacing w:line="540" w:lineRule="exact"/>
        <w:ind w:firstLine="640" w:firstLineChars="200"/>
        <w:jc w:val="left"/>
        <w:rPr>
          <w:rFonts w:hint="eastAsia" w:eastAsia="黑体"/>
          <w:b/>
          <w:sz w:val="32"/>
          <w:szCs w:val="32"/>
        </w:rPr>
      </w:pPr>
      <w:r>
        <w:rPr>
          <w:rFonts w:hint="eastAsia" w:eastAsia="黑体"/>
          <w:b/>
          <w:sz w:val="32"/>
          <w:szCs w:val="32"/>
        </w:rPr>
        <w:t>十</w:t>
      </w:r>
      <w:r>
        <w:rPr>
          <w:rFonts w:eastAsia="黑体"/>
          <w:b/>
          <w:sz w:val="32"/>
          <w:szCs w:val="32"/>
        </w:rPr>
        <w:t>、绩效自评结果拟应用和公开情况</w:t>
      </w:r>
    </w:p>
    <w:p>
      <w:pPr>
        <w:ind w:firstLine="560" w:firstLineChars="200"/>
        <w:rPr>
          <w:rFonts w:hint="eastAsia" w:hAnsi="仿宋_GB2312" w:eastAsia="仿宋_GB2312" w:cs="仿宋_GB2312"/>
          <w:sz w:val="28"/>
          <w:szCs w:val="28"/>
        </w:rPr>
      </w:pPr>
      <w:r>
        <w:rPr>
          <w:rFonts w:hint="eastAsia" w:hAnsi="仿宋_GB2312" w:eastAsia="仿宋_GB2312" w:cs="仿宋_GB2312"/>
          <w:sz w:val="28"/>
          <w:szCs w:val="28"/>
        </w:rPr>
        <w:t>本次自评的目的是了解本单位</w:t>
      </w:r>
      <w:r>
        <w:rPr>
          <w:rFonts w:hint="eastAsia" w:eastAsia="仿宋_GB2312" w:cs="仿宋_GB2312"/>
          <w:sz w:val="28"/>
          <w:szCs w:val="28"/>
        </w:rPr>
        <w:t>2020年</w:t>
      </w:r>
      <w:r>
        <w:rPr>
          <w:rFonts w:hint="eastAsia" w:hAnsi="仿宋_GB2312" w:eastAsia="仿宋_GB2312" w:cs="仿宋_GB2312"/>
          <w:sz w:val="28"/>
          <w:szCs w:val="28"/>
        </w:rPr>
        <w:t>度财政资金预算支出的绩效状况，为今后预算安排提供决策支持，便于进一步增强本单位支出管理的责任，优化支出结构，保障更好地履行职责，提高财政资金使用效益，更好的维护社会主义市场经济秩序，</w:t>
      </w:r>
      <w:r>
        <w:rPr>
          <w:rFonts w:hint="eastAsia" w:eastAsia="仿宋_GB2312" w:cs="宋体"/>
          <w:sz w:val="28"/>
          <w:szCs w:val="28"/>
        </w:rPr>
        <w:t>保护经营者、消费者合法权益</w:t>
      </w:r>
      <w:r>
        <w:rPr>
          <w:rFonts w:hint="eastAsia" w:hAnsi="仿宋_GB2312" w:eastAsia="仿宋_GB2312" w:cs="仿宋_GB2312"/>
          <w:sz w:val="28"/>
          <w:szCs w:val="28"/>
        </w:rPr>
        <w:t>。</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本次绩效评价结果将按相关规定于6月30日前在单位门户网站上予以公开。</w:t>
      </w:r>
    </w:p>
    <w:p>
      <w:pPr>
        <w:widowControl/>
        <w:spacing w:line="540" w:lineRule="exact"/>
        <w:ind w:firstLine="640" w:firstLineChars="200"/>
        <w:jc w:val="left"/>
        <w:rPr>
          <w:rFonts w:eastAsia="黑体"/>
          <w:b/>
          <w:sz w:val="32"/>
          <w:szCs w:val="32"/>
        </w:rPr>
      </w:pPr>
      <w:r>
        <w:rPr>
          <w:rFonts w:hint="eastAsia" w:eastAsia="黑体"/>
          <w:b/>
          <w:sz w:val="32"/>
          <w:szCs w:val="32"/>
        </w:rPr>
        <w:t>十一</w:t>
      </w:r>
      <w:r>
        <w:rPr>
          <w:rFonts w:eastAsia="黑体"/>
          <w:b/>
          <w:sz w:val="32"/>
          <w:szCs w:val="32"/>
        </w:rPr>
        <w:t>、其他需要说明的情况</w:t>
      </w:r>
    </w:p>
    <w:p>
      <w:pPr>
        <w:ind w:firstLine="709"/>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1、本单位湘西州市场监督管理局为2019年新设立行政机关，</w:t>
      </w:r>
      <w:r>
        <w:rPr>
          <w:rFonts w:hint="eastAsia" w:ascii="仿宋_GB2312" w:hAnsi="楷体" w:eastAsia="仿宋_GB2312"/>
          <w:bCs/>
          <w:sz w:val="28"/>
          <w:szCs w:val="28"/>
        </w:rPr>
        <w:t xml:space="preserve"> 2019年2月由</w:t>
      </w:r>
      <w:r>
        <w:rPr>
          <w:rFonts w:hint="eastAsia" w:ascii="仿宋_GB2312" w:hAnsi="仿宋" w:eastAsia="仿宋_GB2312" w:cs="仿宋"/>
          <w:bCs/>
          <w:color w:val="000000"/>
          <w:sz w:val="28"/>
          <w:szCs w:val="28"/>
        </w:rPr>
        <w:t>原州工商行政管理局、州质量技术监督局、州食品药品监督管理局合并而成，所以2019年预算数为原三个单位数据合并而得。</w:t>
      </w:r>
      <w:r>
        <w:rPr>
          <w:rFonts w:hint="eastAsia" w:ascii="仿宋_GB2312" w:hAnsi="楷体" w:eastAsia="仿宋_GB2312"/>
          <w:bCs/>
          <w:sz w:val="28"/>
          <w:szCs w:val="28"/>
        </w:rPr>
        <w:t>2020年先后将州价格监督检查局、州商务综合执法支队、</w:t>
      </w:r>
      <w:r>
        <w:rPr>
          <w:rFonts w:hint="eastAsia" w:ascii="仿宋_GB2312" w:hAnsi="仿宋_GB2312" w:eastAsia="仿宋_GB2312" w:cs="仿宋_GB2312"/>
          <w:sz w:val="28"/>
          <w:szCs w:val="28"/>
        </w:rPr>
        <w:t>州质量技术监督信息管理所</w:t>
      </w:r>
      <w:r>
        <w:rPr>
          <w:rFonts w:hint="eastAsia" w:ascii="仿宋_GB2312" w:hAnsi="楷体" w:eastAsia="仿宋_GB2312"/>
          <w:bCs/>
          <w:sz w:val="28"/>
          <w:szCs w:val="28"/>
        </w:rPr>
        <w:t>合并进来，因此2</w:t>
      </w:r>
      <w:r>
        <w:rPr>
          <w:rFonts w:hint="eastAsia" w:ascii="仿宋_GB2312" w:hAnsi="仿宋" w:eastAsia="仿宋_GB2312" w:cs="仿宋"/>
          <w:bCs/>
          <w:color w:val="000000"/>
          <w:sz w:val="28"/>
          <w:szCs w:val="28"/>
        </w:rPr>
        <w:t>020年预算包括州市场监督管理局和合并进来的2个单位预算（合并进来的</w:t>
      </w:r>
      <w:r>
        <w:rPr>
          <w:rFonts w:hint="eastAsia" w:ascii="仿宋_GB2312" w:hAnsi="仿宋_GB2312" w:eastAsia="仿宋_GB2312" w:cs="仿宋_GB2312"/>
          <w:sz w:val="28"/>
          <w:szCs w:val="28"/>
        </w:rPr>
        <w:t>州质量技术监督信息管理所原本就为局下属独立核算二级机构），2020年</w:t>
      </w:r>
      <w:r>
        <w:rPr>
          <w:rFonts w:hint="eastAsia" w:ascii="仿宋_GB2312" w:hAnsi="仿宋" w:eastAsia="仿宋_GB2312" w:cs="仿宋"/>
          <w:bCs/>
          <w:color w:val="000000"/>
          <w:sz w:val="28"/>
          <w:szCs w:val="28"/>
        </w:rPr>
        <w:t>决算报表中已包含本年合并进来的3个单位数据。</w:t>
      </w:r>
    </w:p>
    <w:p>
      <w:pPr>
        <w:rPr>
          <w:rFonts w:hint="eastAsia" w:ascii="仿宋_GB2312" w:hAnsi="仿宋" w:eastAsia="仿宋_GB2312"/>
          <w:sz w:val="28"/>
          <w:szCs w:val="28"/>
        </w:rPr>
      </w:pPr>
      <w:r>
        <w:rPr>
          <w:rFonts w:hint="eastAsia" w:ascii="仿宋_GB2312" w:eastAsia="仿宋_GB2312" w:cs="楷体_GB2312"/>
          <w:sz w:val="28"/>
          <w:szCs w:val="28"/>
        </w:rPr>
        <w:t xml:space="preserve">    2、人员情况说明：</w:t>
      </w:r>
      <w:r>
        <w:rPr>
          <w:rFonts w:hint="eastAsia" w:ascii="仿宋_GB2312" w:hAnsi="仿宋" w:eastAsia="仿宋_GB2312"/>
          <w:sz w:val="28"/>
          <w:szCs w:val="28"/>
        </w:rPr>
        <w:t>由于2020年我局处于机构改革期间，从2019年至今一直有人员异动，单位基本信息表为2021年2月上报决算时的编制和实有人数， 2020年12月底我局实际编制数为314名，实有人数为295人（含州纪委派驻组人员4名）。</w:t>
      </w:r>
    </w:p>
    <w:p>
      <w:pPr>
        <w:spacing w:line="540" w:lineRule="exact"/>
        <w:ind w:firstLine="560" w:firstLineChars="200"/>
        <w:rPr>
          <w:rFonts w:hint="eastAsia" w:ascii="仿宋_GB2312" w:hAnsi="仿宋_GB2312" w:eastAsia="仿宋_GB2312" w:cs="仿宋_GB2312"/>
          <w:bCs/>
          <w:sz w:val="28"/>
          <w:szCs w:val="28"/>
        </w:rPr>
      </w:pPr>
    </w:p>
    <w:p>
      <w:pPr>
        <w:spacing w:line="580" w:lineRule="exact"/>
        <w:ind w:firstLine="560" w:firstLineChars="200"/>
        <w:jc w:val="center"/>
        <w:rPr>
          <w:rFonts w:hint="eastAsia" w:ascii="仿宋_GB2312" w:hAnsi="仿宋_GB2312" w:eastAsia="仿宋_GB2312" w:cs="仿宋_GB2312"/>
          <w:sz w:val="28"/>
          <w:szCs w:val="28"/>
        </w:rPr>
      </w:pPr>
    </w:p>
    <w:p>
      <w:pPr>
        <w:spacing w:line="580" w:lineRule="exact"/>
        <w:ind w:firstLine="560" w:firstLineChars="200"/>
        <w:jc w:val="center"/>
        <w:rPr>
          <w:rFonts w:hint="eastAsia" w:ascii="仿宋_GB2312" w:hAnsi="仿宋_GB2312" w:eastAsia="仿宋_GB2312" w:cs="仿宋_GB2312"/>
          <w:sz w:val="28"/>
          <w:szCs w:val="28"/>
        </w:rPr>
      </w:pPr>
    </w:p>
    <w:p>
      <w:pPr>
        <w:spacing w:line="580" w:lineRule="exact"/>
        <w:ind w:firstLine="560" w:firstLineChars="200"/>
        <w:jc w:val="center"/>
        <w:rPr>
          <w:rFonts w:hint="eastAsia" w:ascii="仿宋_GB2312" w:hAnsi="仿宋_GB2312" w:eastAsia="仿宋_GB2312" w:cs="仿宋_GB2312"/>
          <w:sz w:val="28"/>
          <w:szCs w:val="28"/>
        </w:rPr>
      </w:pPr>
    </w:p>
    <w:p>
      <w:pPr>
        <w:spacing w:line="58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湘西土家族苗族自治州市场监督管理局</w:t>
      </w:r>
    </w:p>
    <w:p>
      <w:pPr>
        <w:spacing w:line="58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2020年6月18日</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2133E4"/>
    <w:rsid w:val="08D4046D"/>
    <w:rsid w:val="0A642A40"/>
    <w:rsid w:val="0E225947"/>
    <w:rsid w:val="0F160189"/>
    <w:rsid w:val="126F0F2E"/>
    <w:rsid w:val="12EA7417"/>
    <w:rsid w:val="13032504"/>
    <w:rsid w:val="146261BE"/>
    <w:rsid w:val="15A06373"/>
    <w:rsid w:val="16346654"/>
    <w:rsid w:val="19040E07"/>
    <w:rsid w:val="1B9C2EFA"/>
    <w:rsid w:val="1E971E72"/>
    <w:rsid w:val="24BF6995"/>
    <w:rsid w:val="24F26BDD"/>
    <w:rsid w:val="265943B0"/>
    <w:rsid w:val="28C051F3"/>
    <w:rsid w:val="29C57549"/>
    <w:rsid w:val="2F7A0132"/>
    <w:rsid w:val="32F50F2F"/>
    <w:rsid w:val="34A31407"/>
    <w:rsid w:val="357210E1"/>
    <w:rsid w:val="37A64F5C"/>
    <w:rsid w:val="38130EAA"/>
    <w:rsid w:val="3BE034BF"/>
    <w:rsid w:val="3D212820"/>
    <w:rsid w:val="3E6A14A2"/>
    <w:rsid w:val="43340846"/>
    <w:rsid w:val="452C3482"/>
    <w:rsid w:val="45A11856"/>
    <w:rsid w:val="46817AA9"/>
    <w:rsid w:val="4AD9619B"/>
    <w:rsid w:val="4EEB5A0E"/>
    <w:rsid w:val="50155F99"/>
    <w:rsid w:val="50F11007"/>
    <w:rsid w:val="54723614"/>
    <w:rsid w:val="573811C9"/>
    <w:rsid w:val="58494F71"/>
    <w:rsid w:val="58BC020F"/>
    <w:rsid w:val="58C17305"/>
    <w:rsid w:val="5B0B00AC"/>
    <w:rsid w:val="5B607F70"/>
    <w:rsid w:val="5C2B77F5"/>
    <w:rsid w:val="5C4208CA"/>
    <w:rsid w:val="5D475FFE"/>
    <w:rsid w:val="5D4F4B06"/>
    <w:rsid w:val="63B1089F"/>
    <w:rsid w:val="64A73323"/>
    <w:rsid w:val="64D929D0"/>
    <w:rsid w:val="64EA41F7"/>
    <w:rsid w:val="67EE3333"/>
    <w:rsid w:val="68B40E4E"/>
    <w:rsid w:val="68FB149A"/>
    <w:rsid w:val="6D103877"/>
    <w:rsid w:val="6DEE43D2"/>
    <w:rsid w:val="6F14725D"/>
    <w:rsid w:val="6F2D47DB"/>
    <w:rsid w:val="6F6B0C4B"/>
    <w:rsid w:val="7297598D"/>
    <w:rsid w:val="72FB6EA9"/>
    <w:rsid w:val="77E965F2"/>
    <w:rsid w:val="7BA861B3"/>
    <w:rsid w:val="7EF0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正文 + 仿宋_GB2312 Char"/>
    <w:basedOn w:val="6"/>
    <w:link w:val="13"/>
    <w:qFormat/>
    <w:uiPriority w:val="0"/>
    <w:rPr>
      <w:rFonts w:eastAsia="仿宋_GB2312"/>
      <w:kern w:val="2"/>
      <w:sz w:val="28"/>
      <w:szCs w:val="28"/>
      <w:lang w:val="en-US" w:eastAsia="zh-CN" w:bidi="ar-SA"/>
    </w:rPr>
  </w:style>
  <w:style w:type="paragraph" w:customStyle="1" w:styleId="13">
    <w:name w:val="正文 + 仿宋_GB2312"/>
    <w:basedOn w:val="1"/>
    <w:link w:val="12"/>
    <w:uiPriority w:val="0"/>
    <w:pPr>
      <w:spacing w:line="540" w:lineRule="exact"/>
      <w:ind w:firstLine="560" w:firstLineChars="200"/>
    </w:pPr>
    <w:rPr>
      <w:rFonts w:eastAsia="仿宋_GB2312"/>
      <w:kern w:val="2"/>
      <w:sz w:val="28"/>
      <w:szCs w:val="28"/>
      <w:lang w:val="en-US" w:eastAsia="zh-CN" w:bidi="ar-SA"/>
    </w:rPr>
  </w:style>
  <w:style w:type="paragraph" w:customStyle="1" w:styleId="14">
    <w:name w:val="列出段落"/>
    <w:basedOn w:val="1"/>
    <w:qFormat/>
    <w:uiPriority w:val="0"/>
    <w:pPr>
      <w:ind w:firstLine="420" w:firstLineChars="200"/>
    </w:pPr>
    <w:rPr>
      <w:rFonts w:ascii="Calibri" w:hAnsi="Calibri"/>
      <w:szCs w:val="22"/>
    </w:rPr>
  </w:style>
  <w:style w:type="paragraph" w:customStyle="1" w:styleId="15">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3</TotalTime>
  <ScaleCrop>false</ScaleCrop>
  <LinksUpToDate>false</LinksUpToDate>
  <CharactersWithSpaces>8753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向碧玉</cp:lastModifiedBy>
  <cp:lastPrinted>2021-07-28T00:12:00Z</cp:lastPrinted>
  <dcterms:modified xsi:type="dcterms:W3CDTF">2021-09-17T01:20:10Z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0648D3271F384DD986A93F447DD6E4A0</vt:lpwstr>
  </property>
</Properties>
</file>