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both"/>
        <w:rPr>
          <w:rFonts w:hint="eastAsia" w:eastAsia="黑体"/>
          <w:sz w:val="32"/>
          <w:szCs w:val="32"/>
          <w:lang w:val="en-US" w:eastAsia="zh-CN"/>
        </w:rPr>
      </w:pPr>
      <w:r>
        <w:rPr>
          <w:rFonts w:hint="eastAsia"/>
          <w:sz w:val="32"/>
          <w:szCs w:val="32"/>
          <w:lang w:val="en-US" w:eastAsia="zh-CN"/>
        </w:rPr>
        <w:t>附件：</w:t>
      </w: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2020年度</w:t>
      </w:r>
    </w:p>
    <w:p>
      <w:pPr>
        <w:pStyle w:val="9"/>
        <w:jc w:val="center"/>
        <w:rPr>
          <w:rFonts w:hint="eastAsia"/>
          <w:sz w:val="84"/>
          <w:szCs w:val="84"/>
          <w:lang w:eastAsia="zh-CN"/>
        </w:rPr>
      </w:pPr>
      <w:r>
        <w:rPr>
          <w:rFonts w:hint="eastAsia"/>
          <w:sz w:val="84"/>
          <w:szCs w:val="84"/>
          <w:lang w:eastAsia="zh-CN"/>
        </w:rPr>
        <w:t>湘西州市场监督管理局本级</w:t>
      </w:r>
    </w:p>
    <w:p>
      <w:pPr>
        <w:pStyle w:val="9"/>
        <w:jc w:val="center"/>
        <w:rPr>
          <w:sz w:val="84"/>
          <w:szCs w:val="84"/>
        </w:rPr>
      </w:pP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州市场监督管理局本级</w:t>
      </w:r>
      <w:r>
        <w:rPr>
          <w:rFonts w:hint="eastAsia"/>
          <w:b/>
          <w:sz w:val="28"/>
          <w:szCs w:val="28"/>
        </w:rPr>
        <w:t>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hint="eastAsia" w:ascii="仿宋_GB2312" w:hAnsi="仿宋_GB2312" w:cs="仿宋_GB2312" w:eastAsiaTheme="minorEastAsia"/>
          <w:color w:val="000000"/>
          <w:kern w:val="0"/>
          <w:sz w:val="28"/>
          <w:szCs w:val="28"/>
          <w:lang w:val="en-US" w:eastAsia="zh-CN"/>
        </w:rPr>
      </w:pPr>
      <w:r>
        <w:rPr>
          <w:rFonts w:hint="eastAsia" w:ascii="仿宋_GB2312" w:hAnsi="仿宋_GB2312" w:cs="仿宋_GB2312"/>
          <w:color w:val="000000"/>
          <w:kern w:val="0"/>
          <w:sz w:val="28"/>
          <w:szCs w:val="28"/>
          <w:lang w:val="en-US" w:eastAsia="zh-CN"/>
        </w:rPr>
        <w:t>九、</w:t>
      </w:r>
      <w:r>
        <w:rPr>
          <w:rFonts w:hint="eastAsia" w:cs="仿宋_GB2312" w:asciiTheme="minorEastAsia" w:hAnsiTheme="minorEastAsia" w:eastAsiaTheme="minorEastAsia"/>
          <w:sz w:val="28"/>
          <w:szCs w:val="28"/>
        </w:rPr>
        <w:t>国有资本经营预算支出决算</w:t>
      </w:r>
      <w:r>
        <w:rPr>
          <w:rFonts w:hint="eastAsia" w:cs="仿宋_GB2312" w:asciiTheme="minorEastAsia" w:hAnsiTheme="minorEastAsia"/>
          <w:sz w:val="28"/>
          <w:szCs w:val="28"/>
          <w:lang w:val="en-US" w:eastAsia="zh-CN"/>
        </w:rPr>
        <w:t>情况</w:t>
      </w:r>
    </w:p>
    <w:p>
      <w:pPr>
        <w:autoSpaceDE w:val="0"/>
        <w:autoSpaceDN w:val="0"/>
        <w:adjustRightInd w:val="0"/>
        <w:spacing w:line="500" w:lineRule="exact"/>
        <w:ind w:firstLine="700" w:firstLineChars="250"/>
        <w:jc w:val="left"/>
        <w:rPr>
          <w:rFonts w:hint="eastAsia" w:ascii="仿宋_GB2312" w:hAnsi="仿宋_GB2312" w:cs="仿宋_GB2312" w:eastAsiaTheme="minorEastAsia"/>
          <w:sz w:val="28"/>
          <w:szCs w:val="28"/>
        </w:rPr>
      </w:pPr>
      <w:r>
        <w:rPr>
          <w:rFonts w:hint="eastAsia" w:ascii="仿宋_GB2312" w:hAnsi="仿宋_GB2312" w:cs="仿宋_GB2312"/>
          <w:color w:val="000000"/>
          <w:kern w:val="0"/>
          <w:sz w:val="28"/>
          <w:szCs w:val="28"/>
          <w:lang w:val="en-US" w:eastAsia="zh-CN"/>
        </w:rPr>
        <w:t>十</w:t>
      </w:r>
      <w:r>
        <w:rPr>
          <w:rFonts w:ascii="仿宋_GB2312" w:hAnsi="仿宋_GB2312" w:cs="仿宋_GB2312"/>
          <w:color w:val="000000"/>
          <w:kern w:val="0"/>
          <w:sz w:val="28"/>
          <w:szCs w:val="28"/>
        </w:rPr>
        <w:t>、</w:t>
      </w:r>
      <w:r>
        <w:rPr>
          <w:rFonts w:hint="eastAsia" w:ascii="仿宋_GB2312" w:hAnsi="仿宋_GB2312" w:cs="仿宋_GB2312" w:eastAsiaTheme="minorEastAsia"/>
          <w:sz w:val="28"/>
          <w:szCs w:val="28"/>
        </w:rPr>
        <w:t>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pStyle w:val="9"/>
        <w:spacing w:line="500" w:lineRule="exact"/>
        <w:ind w:firstLine="700" w:firstLineChars="25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十一</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eastAsiaTheme="minorEastAsia" w:cstheme="minorEastAsia"/>
          <w:color w:val="000000"/>
          <w:kern w:val="0"/>
          <w:sz w:val="28"/>
          <w:szCs w:val="28"/>
          <w:lang w:val="en-US" w:eastAsia="zh-CN"/>
        </w:rPr>
        <w:t>其他重要事项情况说明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rFonts w:hint="eastAsia"/>
          <w:sz w:val="84"/>
          <w:szCs w:val="84"/>
          <w:lang w:eastAsia="zh-CN"/>
        </w:rPr>
      </w:pPr>
      <w:r>
        <w:rPr>
          <w:rFonts w:hint="eastAsia"/>
          <w:sz w:val="84"/>
          <w:szCs w:val="84"/>
          <w:lang w:eastAsia="zh-CN"/>
        </w:rPr>
        <w:t>湘西州市场监督管理局本级</w:t>
      </w:r>
    </w:p>
    <w:p>
      <w:pPr>
        <w:pStyle w:val="9"/>
        <w:jc w:val="center"/>
        <w:rPr>
          <w:sz w:val="84"/>
          <w:szCs w:val="84"/>
        </w:rPr>
      </w:pPr>
      <w:r>
        <w:rPr>
          <w:rFonts w:hint="eastAsia"/>
          <w:sz w:val="84"/>
          <w:szCs w:val="84"/>
          <w:lang w:eastAsia="zh-CN"/>
        </w:rPr>
        <w:t>单位</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numPr>
          <w:ilvl w:val="0"/>
          <w:numId w:val="0"/>
        </w:numPr>
        <w:tabs>
          <w:tab w:val="left" w:pos="0"/>
        </w:tabs>
        <w:autoSpaceDN w:val="0"/>
        <w:ind w:left="210" w:leftChars="0"/>
        <w:jc w:val="left"/>
        <w:rPr>
          <w:rFonts w:hint="eastAsia" w:ascii="黑体" w:eastAsia="黑体"/>
          <w:sz w:val="32"/>
          <w:szCs w:val="32"/>
        </w:rPr>
      </w:pPr>
    </w:p>
    <w:p>
      <w:pPr>
        <w:pStyle w:val="10"/>
        <w:numPr>
          <w:ilvl w:val="0"/>
          <w:numId w:val="1"/>
        </w:numPr>
        <w:tabs>
          <w:tab w:val="left" w:pos="0"/>
        </w:tabs>
        <w:autoSpaceDN w:val="0"/>
        <w:ind w:left="930" w:leftChars="0" w:firstLineChars="0"/>
        <w:jc w:val="left"/>
        <w:rPr>
          <w:rFonts w:hint="eastAsia" w:ascii="黑体" w:eastAsia="黑体"/>
          <w:sz w:val="32"/>
          <w:szCs w:val="32"/>
        </w:rPr>
      </w:pPr>
      <w:r>
        <w:rPr>
          <w:rFonts w:hint="eastAsia" w:ascii="黑体" w:eastAsia="黑体"/>
          <w:sz w:val="32"/>
          <w:szCs w:val="32"/>
        </w:rPr>
        <w:t>部门职责</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（一）负责市场综合监督管理。</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（二）负责市场主体统一登记注册。</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（三）负责组织和指导市场监管综合执法工作。</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（四）负责反垄断统一执法。</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（五）负责监督管理市场秩序。</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（六）负责宏观质量管理。</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（七）负责产品质量安全监督管理。</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（八）负责特种设备安全监督管理。</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（九）负责食品安全监督管理综合协调。</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（十）负责食品安全监督管理。</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（十一）负责药品（含中药、民族药）、医疗器械盒化妆品安全监督管理。</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（十二）负责职责范围内的药品、医疗器械和化妆品标准管理。</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（十三）负责权限内药品、医疗器械的行政许可、备案和化妆品备案工作。负责土家药、苗药饮片备案。</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（十四）负责药品、医疗器械盒化妆品质量管理。</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（十五）组织开展药品不良反应、医疗器械不良事件和化妆品的不良反应监测工作。依法承担药品、医疗器械和化妆品安全应急管理工作。</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（十六）负责组织实施药品、医疗器械和化妆品监督检查。</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（十七）负责统一管理计量工作。</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（十八）负责统一管理标准化工作。</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（十九）负责检验检测监督管理工作。</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（二十）负责监督管理和综合协调全州认证认可与合格评定工作。依法监督管理全州认证认可和合格评定相关活动。</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（二十一）负责市场监督管理、知识产权领域科技和信息化建设、新闻宣传、对外交流与合作。按规定承担技术性贸易措施有关工作。</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（二十二）负责实施知识产权战略，推进知识产权强州建设。</w:t>
      </w:r>
    </w:p>
    <w:p>
      <w:pPr>
        <w:spacing w:line="540" w:lineRule="exact"/>
        <w:ind w:firstLine="140" w:firstLineChars="5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(二十三)负责保护知识产权。</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（二十四）负责知识产权创造运用。</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（二十五）负责组织开展有关服务领域消费维权工作，查处制售假冒伪劣等违法行为，指导消费者咨询、申诉、举报受理、处理网络体系建设等工作，保护经营者、消费者合法权益。</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（二十六）完成州委、州政府交办的其他任务。</w:t>
      </w:r>
    </w:p>
    <w:p>
      <w:pPr>
        <w:widowControl/>
        <w:autoSpaceDN w:val="0"/>
        <w:spacing w:line="600" w:lineRule="exact"/>
        <w:rPr>
          <w:rFonts w:hint="eastAsia" w:ascii="黑体" w:eastAsia="黑体"/>
          <w:bCs/>
          <w:kern w:val="0"/>
          <w:sz w:val="32"/>
          <w:szCs w:val="32"/>
        </w:rPr>
      </w:pPr>
      <w:r>
        <w:rPr>
          <w:rFonts w:hint="eastAsia" w:ascii="黑体" w:eastAsia="黑体"/>
          <w:bCs/>
          <w:kern w:val="0"/>
          <w:sz w:val="32"/>
          <w:szCs w:val="32"/>
        </w:rPr>
        <w:t>二、机构设置及决算单位构成</w:t>
      </w:r>
    </w:p>
    <w:p>
      <w:pPr>
        <w:ind w:firstLine="560" w:firstLineChars="200"/>
        <w:rPr>
          <w:rFonts w:hint="eastAsia" w:ascii="宋体" w:hAnsi="宋体" w:eastAsia="仿宋_GB2312"/>
          <w:kern w:val="0"/>
          <w:sz w:val="28"/>
          <w:szCs w:val="32"/>
        </w:rPr>
      </w:pPr>
      <w:r>
        <w:rPr>
          <w:rFonts w:hint="eastAsia" w:ascii="宋体" w:hAnsi="宋体" w:eastAsia="仿宋_GB2312"/>
          <w:kern w:val="0"/>
          <w:sz w:val="28"/>
          <w:szCs w:val="32"/>
        </w:rPr>
        <w:t>（一）内设机构设置。</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本单位共有29个内设机构、2个单列机构、1个直属行政机构、9个</w:t>
      </w:r>
      <w:r>
        <w:rPr>
          <w:rFonts w:hint="eastAsia" w:ascii="仿宋_GB2312" w:hAnsi="仿宋_GB2312" w:eastAsia="仿宋_GB2312" w:cs="仿宋_GB2312"/>
          <w:sz w:val="28"/>
          <w:szCs w:val="28"/>
          <w:lang w:eastAsia="zh-CN"/>
        </w:rPr>
        <w:t>所属</w:t>
      </w:r>
      <w:r>
        <w:rPr>
          <w:rFonts w:hint="eastAsia" w:ascii="宋体" w:hAnsi="宋体" w:eastAsia="仿宋_GB2312" w:cs="仿宋_GB2312"/>
          <w:kern w:val="0"/>
          <w:sz w:val="28"/>
          <w:szCs w:val="30"/>
        </w:rPr>
        <w:t>事业单位</w:t>
      </w:r>
      <w:r>
        <w:rPr>
          <w:rFonts w:hint="eastAsia" w:ascii="仿宋_GB2312" w:hAnsi="仿宋_GB2312" w:eastAsia="仿宋_GB2312" w:cs="仿宋_GB2312"/>
          <w:sz w:val="28"/>
          <w:szCs w:val="28"/>
        </w:rPr>
        <w:t>、1个挂靠的社团组织办事机构，。其中29个内设机构包括：办公室、政策法规科、登记注册局、旅游市场监督管理局、信用监督管理科、反垄断局、价格监督检查和反不正当竞争局、网络交易监督管理科、广告监督管理科、质量发展局、产品质量安全监督管理科、食品安全协调及抽检检测科、食品生产安全监督管理科、食品经营安全监督管理科、特殊食品安全监督管理科、特种设备安全监察局、计量科、标准化科、认可与认证监督管理科、知识产权促进科、知识产权保护科、知识产权运用科、药品注册生产流通监督管理科、医疗器械监督管理科、化妆品监督管理科、消费者权益保护科、小微企业个体工商户专业市场党建工作指导科、科技和财务科、人事科；2个单列机构为机关党委和离退休人员管理服务科；1个直属行政机构为湘西州经济开发区分局；9个</w:t>
      </w:r>
      <w:r>
        <w:rPr>
          <w:rFonts w:hint="eastAsia" w:ascii="仿宋_GB2312" w:hAnsi="仿宋_GB2312" w:eastAsia="仿宋_GB2312" w:cs="仿宋_GB2312"/>
          <w:sz w:val="28"/>
          <w:szCs w:val="28"/>
          <w:lang w:eastAsia="zh-CN"/>
        </w:rPr>
        <w:t>所属</w:t>
      </w:r>
      <w:r>
        <w:rPr>
          <w:rFonts w:hint="eastAsia" w:ascii="宋体" w:hAnsi="宋体" w:eastAsia="仿宋_GB2312" w:cs="仿宋_GB2312"/>
          <w:kern w:val="0"/>
          <w:sz w:val="28"/>
          <w:szCs w:val="30"/>
        </w:rPr>
        <w:t>事业单位</w:t>
      </w:r>
      <w:r>
        <w:rPr>
          <w:rFonts w:hint="eastAsia" w:ascii="仿宋_GB2312" w:hAnsi="仿宋_GB2312" w:eastAsia="仿宋_GB2312" w:cs="仿宋_GB2312"/>
          <w:sz w:val="28"/>
          <w:szCs w:val="28"/>
        </w:rPr>
        <w:t>为：</w:t>
      </w:r>
      <w:r>
        <w:rPr>
          <w:rFonts w:hint="eastAsia" w:ascii="宋体" w:hAnsi="宋体" w:eastAsia="仿宋_GB2312" w:cs="仿宋_GB2312"/>
          <w:kern w:val="0"/>
          <w:sz w:val="28"/>
          <w:szCs w:val="30"/>
        </w:rPr>
        <w:t>州市场监管综合行政执法局、</w:t>
      </w:r>
      <w:r>
        <w:rPr>
          <w:rFonts w:hint="eastAsia" w:ascii="宋体" w:hAnsi="宋体" w:eastAsia="仿宋_GB2312" w:cs="仿宋_GB2312"/>
          <w:kern w:val="0"/>
          <w:sz w:val="28"/>
          <w:szCs w:val="30"/>
          <w:lang w:eastAsia="zh-CN"/>
        </w:rPr>
        <w:t>州酒管局、</w:t>
      </w:r>
      <w:r>
        <w:rPr>
          <w:rFonts w:hint="eastAsia" w:ascii="宋体" w:hAnsi="宋体" w:eastAsia="仿宋_GB2312" w:cs="仿宋_GB2312"/>
          <w:kern w:val="0"/>
          <w:sz w:val="28"/>
          <w:szCs w:val="30"/>
        </w:rPr>
        <w:t>后勤服务中心、信息中心、培训中心、1</w:t>
      </w:r>
      <w:r>
        <w:rPr>
          <w:rFonts w:hint="eastAsia" w:ascii="仿宋_GB2312" w:hAnsi="仿宋_GB2312" w:eastAsia="仿宋_GB2312" w:cs="仿宋_GB2312"/>
          <w:sz w:val="28"/>
          <w:szCs w:val="28"/>
        </w:rPr>
        <w:t>2315</w:t>
      </w:r>
      <w:r>
        <w:rPr>
          <w:rFonts w:hint="eastAsia" w:ascii="仿宋_GB2312" w:hAnsi="仿宋_GB2312" w:eastAsia="仿宋_GB2312" w:cs="仿宋_GB2312"/>
          <w:sz w:val="28"/>
          <w:szCs w:val="28"/>
          <w:lang w:eastAsia="zh-CN"/>
        </w:rPr>
        <w:t>投诉</w:t>
      </w:r>
      <w:r>
        <w:rPr>
          <w:rFonts w:hint="eastAsia" w:ascii="仿宋_GB2312" w:hAnsi="仿宋_GB2312" w:eastAsia="仿宋_GB2312" w:cs="仿宋_GB2312"/>
          <w:sz w:val="28"/>
          <w:szCs w:val="28"/>
        </w:rPr>
        <w:t>举报中心、</w:t>
      </w:r>
      <w:r>
        <w:rPr>
          <w:rFonts w:hint="eastAsia" w:ascii="仿宋_GB2312" w:hAnsi="仿宋_GB2312" w:eastAsia="仿宋_GB2312" w:cs="仿宋_GB2312"/>
          <w:sz w:val="28"/>
          <w:szCs w:val="28"/>
          <w:lang w:eastAsia="zh-CN"/>
        </w:rPr>
        <w:t>食品</w:t>
      </w:r>
      <w:r>
        <w:rPr>
          <w:rFonts w:hint="eastAsia" w:ascii="仿宋_GB2312" w:hAnsi="仿宋_GB2312" w:eastAsia="仿宋_GB2312" w:cs="仿宋_GB2312"/>
          <w:sz w:val="28"/>
          <w:szCs w:val="28"/>
        </w:rPr>
        <w:t>药品</w:t>
      </w:r>
      <w:r>
        <w:rPr>
          <w:rFonts w:hint="eastAsia" w:ascii="仿宋_GB2312" w:hAnsi="仿宋_GB2312" w:eastAsia="仿宋_GB2312" w:cs="仿宋_GB2312"/>
          <w:sz w:val="28"/>
          <w:szCs w:val="28"/>
          <w:lang w:eastAsia="zh-CN"/>
        </w:rPr>
        <w:t>审评认证服务</w:t>
      </w:r>
      <w:r>
        <w:rPr>
          <w:rFonts w:hint="eastAsia" w:ascii="仿宋_GB2312" w:hAnsi="仿宋_GB2312" w:eastAsia="仿宋_GB2312" w:cs="仿宋_GB2312"/>
          <w:sz w:val="28"/>
          <w:szCs w:val="28"/>
        </w:rPr>
        <w:t>中心、</w:t>
      </w:r>
      <w:r>
        <w:rPr>
          <w:rFonts w:hint="eastAsia" w:ascii="仿宋_GB2312" w:hAnsi="仿宋_GB2312" w:eastAsia="仿宋_GB2312" w:cs="仿宋_GB2312"/>
          <w:sz w:val="28"/>
          <w:szCs w:val="28"/>
          <w:lang w:eastAsia="zh-CN"/>
        </w:rPr>
        <w:t>知识产权受理事务</w:t>
      </w:r>
      <w:r>
        <w:rPr>
          <w:rFonts w:hint="eastAsia" w:ascii="仿宋_GB2312" w:hAnsi="仿宋_GB2312" w:eastAsia="仿宋_GB2312" w:cs="仿宋_GB2312"/>
          <w:sz w:val="28"/>
          <w:szCs w:val="28"/>
        </w:rPr>
        <w:t>中心、州个体私营经济发展指导中心；1个挂靠的社团组织办事机构为州消费者委员会秘书处。</w:t>
      </w:r>
    </w:p>
    <w:p>
      <w:pPr>
        <w:ind w:firstLine="640" w:firstLineChars="200"/>
        <w:rPr>
          <w:rFonts w:hint="eastAsia" w:ascii="仿宋_GB2312" w:hAnsi="仿宋_GB2312" w:eastAsia="仿宋_GB2312" w:cs="仿宋_GB2312"/>
          <w:sz w:val="28"/>
          <w:szCs w:val="28"/>
        </w:rPr>
      </w:pPr>
      <w:r>
        <w:rPr>
          <w:rFonts w:hint="eastAsia" w:ascii="宋体" w:hAnsi="宋体"/>
          <w:bCs/>
          <w:kern w:val="0"/>
          <w:sz w:val="32"/>
          <w:szCs w:val="32"/>
        </w:rPr>
        <w:t>（</w:t>
      </w:r>
      <w:r>
        <w:rPr>
          <w:rFonts w:hint="eastAsia" w:ascii="宋体" w:hAnsi="宋体" w:eastAsia="仿宋_GB2312"/>
          <w:bCs/>
          <w:kern w:val="0"/>
          <w:sz w:val="28"/>
          <w:szCs w:val="32"/>
        </w:rPr>
        <w:t>二）决算单位构成。湘西州市场监督管理局</w:t>
      </w:r>
      <w:r>
        <w:rPr>
          <w:rFonts w:hint="eastAsia" w:ascii="宋体" w:hAnsi="宋体" w:eastAsia="仿宋_GB2312"/>
          <w:bCs/>
          <w:kern w:val="0"/>
          <w:sz w:val="28"/>
          <w:szCs w:val="32"/>
          <w:lang w:eastAsia="zh-CN"/>
        </w:rPr>
        <w:t>本级</w:t>
      </w:r>
      <w:r>
        <w:rPr>
          <w:rFonts w:hint="eastAsia" w:ascii="宋体" w:hAnsi="宋体" w:eastAsia="仿宋_GB2312"/>
          <w:bCs/>
          <w:kern w:val="0"/>
          <w:sz w:val="28"/>
          <w:szCs w:val="32"/>
        </w:rPr>
        <w:t>20</w:t>
      </w:r>
      <w:r>
        <w:rPr>
          <w:rFonts w:hint="eastAsia" w:ascii="宋体" w:hAnsi="宋体" w:eastAsia="仿宋_GB2312"/>
          <w:bCs/>
          <w:kern w:val="0"/>
          <w:sz w:val="28"/>
          <w:szCs w:val="32"/>
          <w:lang w:val="en-US" w:eastAsia="zh-CN"/>
        </w:rPr>
        <w:t>20</w:t>
      </w:r>
      <w:r>
        <w:rPr>
          <w:rFonts w:hint="eastAsia" w:ascii="宋体" w:hAnsi="宋体" w:eastAsia="仿宋_GB2312"/>
          <w:bCs/>
          <w:kern w:val="0"/>
          <w:sz w:val="28"/>
          <w:szCs w:val="32"/>
        </w:rPr>
        <w:t>年部门决算公开单位构成包括：湘西州市场监督管理局本级</w:t>
      </w:r>
      <w:r>
        <w:rPr>
          <w:rFonts w:hint="eastAsia" w:ascii="仿宋_GB2312" w:hAnsi="仿宋_GB2312" w:eastAsia="仿宋_GB2312" w:cs="仿宋_GB2312"/>
          <w:sz w:val="28"/>
          <w:szCs w:val="28"/>
        </w:rPr>
        <w:t>。</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footerReference r:id="rId3" w:type="default"/>
          <w:pgSz w:w="11906" w:h="16838"/>
          <w:pgMar w:top="720" w:right="720" w:bottom="720" w:left="720" w:header="851" w:footer="992" w:gutter="0"/>
          <w:pgNumType w:fmt="decimal"/>
          <w:cols w:space="425" w:num="1"/>
          <w:docGrid w:type="lines" w:linePitch="312" w:charSpace="0"/>
        </w:sectPr>
      </w:pPr>
    </w:p>
    <w:tbl>
      <w:tblPr>
        <w:tblStyle w:val="5"/>
        <w:tblW w:w="13780" w:type="dxa"/>
        <w:tblInd w:w="93" w:type="dxa"/>
        <w:tblLayout w:type="fixed"/>
        <w:tblCellMar>
          <w:top w:w="0" w:type="dxa"/>
          <w:left w:w="108" w:type="dxa"/>
          <w:bottom w:w="0" w:type="dxa"/>
          <w:right w:w="108" w:type="dxa"/>
        </w:tblCellMar>
      </w:tblPr>
      <w:tblGrid>
        <w:gridCol w:w="4037"/>
        <w:gridCol w:w="590"/>
        <w:gridCol w:w="467"/>
        <w:gridCol w:w="682"/>
        <w:gridCol w:w="1229"/>
        <w:gridCol w:w="3567"/>
        <w:gridCol w:w="1080"/>
        <w:gridCol w:w="642"/>
        <w:gridCol w:w="1486"/>
      </w:tblGrid>
      <w:tr>
        <w:tblPrEx>
          <w:tblCellMar>
            <w:top w:w="0" w:type="dxa"/>
            <w:left w:w="108" w:type="dxa"/>
            <w:bottom w:w="0" w:type="dxa"/>
            <w:right w:w="108" w:type="dxa"/>
          </w:tblCellMar>
        </w:tblPrEx>
        <w:trPr>
          <w:trHeight w:val="90" w:hRule="atLeast"/>
        </w:trPr>
        <w:tc>
          <w:tcPr>
            <w:tcW w:w="1378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90" w:hRule="atLeast"/>
        </w:trPr>
        <w:tc>
          <w:tcPr>
            <w:tcW w:w="5094"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8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64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90" w:hRule="atLeast"/>
        </w:trPr>
        <w:tc>
          <w:tcPr>
            <w:tcW w:w="5094"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湘西土家族苗族自治州市场监督管理局（本级）</w:t>
            </w:r>
          </w:p>
        </w:tc>
        <w:tc>
          <w:tcPr>
            <w:tcW w:w="68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64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90" w:hRule="atLeast"/>
        </w:trPr>
        <w:tc>
          <w:tcPr>
            <w:tcW w:w="7005"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6775" w:type="dxa"/>
            <w:gridSpan w:val="4"/>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90" w:hRule="atLeast"/>
        </w:trPr>
        <w:tc>
          <w:tcPr>
            <w:tcW w:w="403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59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237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212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90" w:hRule="atLeast"/>
        </w:trPr>
        <w:tc>
          <w:tcPr>
            <w:tcW w:w="403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59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37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128"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90" w:hRule="atLeast"/>
        </w:trPr>
        <w:tc>
          <w:tcPr>
            <w:tcW w:w="403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59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237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5429.35</w:t>
            </w:r>
          </w:p>
        </w:tc>
        <w:tc>
          <w:tcPr>
            <w:tcW w:w="356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6</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4155.43</w:t>
            </w:r>
          </w:p>
        </w:tc>
      </w:tr>
      <w:tr>
        <w:tblPrEx>
          <w:tblCellMar>
            <w:top w:w="0" w:type="dxa"/>
            <w:left w:w="108" w:type="dxa"/>
            <w:bottom w:w="0" w:type="dxa"/>
            <w:right w:w="108" w:type="dxa"/>
          </w:tblCellMar>
        </w:tblPrEx>
        <w:trPr>
          <w:trHeight w:val="90" w:hRule="atLeast"/>
        </w:trPr>
        <w:tc>
          <w:tcPr>
            <w:tcW w:w="403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59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237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56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7</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90" w:hRule="atLeast"/>
        </w:trPr>
        <w:tc>
          <w:tcPr>
            <w:tcW w:w="403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59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237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56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8</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90" w:hRule="atLeast"/>
        </w:trPr>
        <w:tc>
          <w:tcPr>
            <w:tcW w:w="403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59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237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56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9</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90" w:hRule="atLeast"/>
        </w:trPr>
        <w:tc>
          <w:tcPr>
            <w:tcW w:w="403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59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237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56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23.78</w:t>
            </w:r>
          </w:p>
        </w:tc>
      </w:tr>
      <w:tr>
        <w:tblPrEx>
          <w:tblCellMar>
            <w:top w:w="0" w:type="dxa"/>
            <w:left w:w="108" w:type="dxa"/>
            <w:bottom w:w="0" w:type="dxa"/>
            <w:right w:w="108" w:type="dxa"/>
          </w:tblCellMar>
        </w:tblPrEx>
        <w:trPr>
          <w:trHeight w:val="90" w:hRule="atLeast"/>
        </w:trPr>
        <w:tc>
          <w:tcPr>
            <w:tcW w:w="403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59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237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56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3.80</w:t>
            </w:r>
          </w:p>
        </w:tc>
      </w:tr>
      <w:tr>
        <w:tblPrEx>
          <w:tblCellMar>
            <w:top w:w="0" w:type="dxa"/>
            <w:left w:w="108" w:type="dxa"/>
            <w:bottom w:w="0" w:type="dxa"/>
            <w:right w:w="108" w:type="dxa"/>
          </w:tblCellMar>
        </w:tblPrEx>
        <w:trPr>
          <w:trHeight w:val="90" w:hRule="atLeast"/>
        </w:trPr>
        <w:tc>
          <w:tcPr>
            <w:tcW w:w="403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59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237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56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lang w:eastAsia="zh-CN"/>
              </w:rPr>
              <w:t>七、文化旅游体育与传媒支出</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2</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90" w:hRule="atLeast"/>
        </w:trPr>
        <w:tc>
          <w:tcPr>
            <w:tcW w:w="4037"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59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237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0.5</w:t>
            </w:r>
          </w:p>
        </w:tc>
        <w:tc>
          <w:tcPr>
            <w:tcW w:w="356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kern w:val="0"/>
                <w:sz w:val="22"/>
                <w:lang w:eastAsia="zh-CN"/>
              </w:rPr>
            </w:pPr>
            <w:r>
              <w:rPr>
                <w:rFonts w:hint="eastAsia" w:asciiTheme="minorEastAsia" w:hAnsiTheme="minorEastAsia" w:eastAsiaTheme="minorEastAsia" w:cstheme="minorEastAsia"/>
                <w:kern w:val="0"/>
                <w:szCs w:val="21"/>
              </w:rPr>
              <w:t>八、社会保障和就业支出</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3</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603.86</w:t>
            </w:r>
          </w:p>
        </w:tc>
      </w:tr>
      <w:tr>
        <w:tblPrEx>
          <w:tblCellMar>
            <w:top w:w="0" w:type="dxa"/>
            <w:left w:w="108" w:type="dxa"/>
            <w:bottom w:w="0" w:type="dxa"/>
            <w:right w:w="108" w:type="dxa"/>
          </w:tblCellMar>
        </w:tblPrEx>
        <w:trPr>
          <w:trHeight w:val="90" w:hRule="atLeast"/>
        </w:trPr>
        <w:tc>
          <w:tcPr>
            <w:tcW w:w="4037"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59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237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567" w:type="dxa"/>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0"/>
                <w:szCs w:val="20"/>
              </w:rPr>
            </w:pPr>
            <w:r>
              <w:rPr>
                <w:rFonts w:hint="eastAsia" w:asciiTheme="minorEastAsia" w:hAnsiTheme="minorEastAsia" w:cstheme="minorEastAsia"/>
                <w:kern w:val="0"/>
                <w:sz w:val="22"/>
                <w:lang w:eastAsia="zh-CN"/>
              </w:rPr>
              <w:t>九、卫生健康支出</w:t>
            </w:r>
            <w:r>
              <w:rPr>
                <w:rFonts w:hint="eastAsia" w:ascii="宋体" w:hAnsi="宋体" w:eastAsia="宋体" w:cs="宋体"/>
                <w:kern w:val="0"/>
                <w:sz w:val="20"/>
                <w:szCs w:val="20"/>
              </w:rPr>
              <w:t>　</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4</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kern w:val="0"/>
                <w:sz w:val="22"/>
                <w:lang w:val="en-US" w:eastAsia="zh-CN"/>
              </w:rPr>
            </w:pPr>
            <w:r>
              <w:rPr>
                <w:rFonts w:hint="eastAsia" w:ascii="宋体" w:hAnsi="宋体" w:eastAsia="宋体" w:cs="宋体"/>
                <w:b w:val="0"/>
                <w:bCs w:val="0"/>
                <w:kern w:val="0"/>
                <w:sz w:val="22"/>
                <w:lang w:val="en-US" w:eastAsia="zh-CN"/>
              </w:rPr>
              <w:t>127.03</w:t>
            </w:r>
          </w:p>
        </w:tc>
      </w:tr>
      <w:tr>
        <w:tblPrEx>
          <w:tblCellMar>
            <w:top w:w="0" w:type="dxa"/>
            <w:left w:w="108" w:type="dxa"/>
            <w:bottom w:w="0" w:type="dxa"/>
            <w:right w:w="108" w:type="dxa"/>
          </w:tblCellMar>
        </w:tblPrEx>
        <w:trPr>
          <w:trHeight w:val="90" w:hRule="atLeast"/>
        </w:trPr>
        <w:tc>
          <w:tcPr>
            <w:tcW w:w="4037"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59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237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567"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2"/>
                <w:szCs w:val="22"/>
                <w:lang w:eastAsia="zh-CN"/>
              </w:rPr>
              <w:t>十九、住房保障支出</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kern w:val="0"/>
                <w:sz w:val="22"/>
                <w:lang w:val="en-US" w:eastAsia="zh-CN"/>
              </w:rPr>
            </w:pPr>
            <w:r>
              <w:rPr>
                <w:rFonts w:hint="eastAsia" w:ascii="宋体" w:hAnsi="宋体" w:eastAsia="宋体" w:cs="宋体"/>
                <w:b w:val="0"/>
                <w:bCs w:val="0"/>
                <w:kern w:val="0"/>
                <w:sz w:val="22"/>
                <w:lang w:val="en-US" w:eastAsia="zh-CN"/>
              </w:rPr>
              <w:t>217.78</w:t>
            </w:r>
          </w:p>
        </w:tc>
      </w:tr>
      <w:tr>
        <w:tblPrEx>
          <w:tblCellMar>
            <w:top w:w="0" w:type="dxa"/>
            <w:left w:w="108" w:type="dxa"/>
            <w:bottom w:w="0" w:type="dxa"/>
            <w:right w:w="108" w:type="dxa"/>
          </w:tblCellMar>
        </w:tblPrEx>
        <w:trPr>
          <w:trHeight w:val="90" w:hRule="atLeast"/>
        </w:trPr>
        <w:tc>
          <w:tcPr>
            <w:tcW w:w="4037"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59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w:t>
            </w:r>
          </w:p>
        </w:tc>
        <w:tc>
          <w:tcPr>
            <w:tcW w:w="237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356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90" w:hRule="atLeast"/>
        </w:trPr>
        <w:tc>
          <w:tcPr>
            <w:tcW w:w="40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59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2</w:t>
            </w:r>
          </w:p>
        </w:tc>
        <w:tc>
          <w:tcPr>
            <w:tcW w:w="237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b/>
                <w:bCs/>
                <w:kern w:val="0"/>
                <w:sz w:val="22"/>
                <w:lang w:val="en-US" w:eastAsia="zh-CN"/>
              </w:rPr>
              <w:t>5428.86</w:t>
            </w:r>
          </w:p>
        </w:tc>
        <w:tc>
          <w:tcPr>
            <w:tcW w:w="3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7</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b/>
                <w:bCs/>
                <w:kern w:val="0"/>
                <w:sz w:val="22"/>
                <w:lang w:val="en-US" w:eastAsia="zh-CN"/>
              </w:rPr>
              <w:t>5136.68</w:t>
            </w:r>
          </w:p>
        </w:tc>
      </w:tr>
      <w:tr>
        <w:tblPrEx>
          <w:tblCellMar>
            <w:top w:w="0" w:type="dxa"/>
            <w:left w:w="108" w:type="dxa"/>
            <w:bottom w:w="0" w:type="dxa"/>
            <w:right w:w="108" w:type="dxa"/>
          </w:tblCellMar>
        </w:tblPrEx>
        <w:trPr>
          <w:trHeight w:val="90" w:hRule="atLeast"/>
        </w:trPr>
        <w:tc>
          <w:tcPr>
            <w:tcW w:w="403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59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3</w:t>
            </w:r>
          </w:p>
        </w:tc>
        <w:tc>
          <w:tcPr>
            <w:tcW w:w="237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p>
        </w:tc>
        <w:tc>
          <w:tcPr>
            <w:tcW w:w="35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8</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90" w:hRule="atLeast"/>
        </w:trPr>
        <w:tc>
          <w:tcPr>
            <w:tcW w:w="403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59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4</w:t>
            </w:r>
          </w:p>
        </w:tc>
        <w:tc>
          <w:tcPr>
            <w:tcW w:w="237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1660.88</w:t>
            </w:r>
          </w:p>
        </w:tc>
        <w:tc>
          <w:tcPr>
            <w:tcW w:w="35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9</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1954.05</w:t>
            </w:r>
          </w:p>
        </w:tc>
      </w:tr>
      <w:tr>
        <w:tblPrEx>
          <w:tblCellMar>
            <w:top w:w="0" w:type="dxa"/>
            <w:left w:w="108" w:type="dxa"/>
            <w:bottom w:w="0" w:type="dxa"/>
            <w:right w:w="108" w:type="dxa"/>
          </w:tblCellMar>
        </w:tblPrEx>
        <w:trPr>
          <w:trHeight w:val="90" w:hRule="atLeast"/>
        </w:trPr>
        <w:tc>
          <w:tcPr>
            <w:tcW w:w="403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59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5</w:t>
            </w:r>
          </w:p>
        </w:tc>
        <w:tc>
          <w:tcPr>
            <w:tcW w:w="237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b/>
                <w:bCs/>
                <w:kern w:val="0"/>
                <w:sz w:val="22"/>
                <w:lang w:val="en-US" w:eastAsia="zh-CN"/>
              </w:rPr>
              <w:t>7090.73</w:t>
            </w:r>
          </w:p>
        </w:tc>
        <w:tc>
          <w:tcPr>
            <w:tcW w:w="3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212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7090.73</w:t>
            </w:r>
          </w:p>
        </w:tc>
      </w:tr>
      <w:tr>
        <w:tblPrEx>
          <w:tblCellMar>
            <w:top w:w="0" w:type="dxa"/>
            <w:left w:w="108" w:type="dxa"/>
            <w:bottom w:w="0" w:type="dxa"/>
            <w:right w:w="108" w:type="dxa"/>
          </w:tblCellMar>
        </w:tblPrEx>
        <w:trPr>
          <w:trHeight w:val="90" w:hRule="atLeast"/>
        </w:trPr>
        <w:tc>
          <w:tcPr>
            <w:tcW w:w="1378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684" w:right="1440" w:bottom="1627" w:left="1440" w:header="851" w:footer="992" w:gutter="0"/>
          <w:pgNumType w:fmt="decimal"/>
          <w:cols w:space="425" w:num="1"/>
          <w:docGrid w:type="linesAndChars" w:linePitch="312" w:charSpace="0"/>
        </w:sectPr>
      </w:pPr>
    </w:p>
    <w:tbl>
      <w:tblPr>
        <w:tblStyle w:val="5"/>
        <w:tblW w:w="15428" w:type="dxa"/>
        <w:tblInd w:w="0" w:type="dxa"/>
        <w:tblLayout w:type="fixed"/>
        <w:tblCellMar>
          <w:top w:w="0" w:type="dxa"/>
          <w:left w:w="0" w:type="dxa"/>
          <w:bottom w:w="0" w:type="dxa"/>
          <w:right w:w="0" w:type="dxa"/>
        </w:tblCellMar>
      </w:tblPr>
      <w:tblGrid>
        <w:gridCol w:w="15428"/>
      </w:tblGrid>
      <w:tr>
        <w:tblPrEx>
          <w:tblCellMar>
            <w:top w:w="0" w:type="dxa"/>
            <w:left w:w="0" w:type="dxa"/>
            <w:bottom w:w="0" w:type="dxa"/>
            <w:right w:w="0" w:type="dxa"/>
          </w:tblCellMar>
        </w:tblPrEx>
        <w:trPr>
          <w:trHeight w:val="435" w:hRule="atLeast"/>
        </w:trPr>
        <w:tc>
          <w:tcPr>
            <w:tcW w:w="15428" w:type="dxa"/>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615" w:hRule="atLeast"/>
        </w:trPr>
        <w:tc>
          <w:tcPr>
            <w:tcW w:w="15428" w:type="dxa"/>
            <w:tcBorders>
              <w:top w:val="nil"/>
              <w:left w:val="nil"/>
              <w:bottom w:val="nil"/>
              <w:right w:val="nil"/>
            </w:tcBorders>
            <w:shd w:val="clear" w:color="auto" w:fill="auto"/>
            <w:tcMar>
              <w:top w:w="15" w:type="dxa"/>
              <w:left w:w="15" w:type="dxa"/>
              <w:bottom w:w="0" w:type="dxa"/>
              <w:right w:w="15" w:type="dxa"/>
            </w:tcMar>
            <w:vAlign w:val="center"/>
          </w:tcPr>
          <w:tbl>
            <w:tblPr>
              <w:tblStyle w:val="5"/>
              <w:tblW w:w="15310" w:type="dxa"/>
              <w:tblInd w:w="-20" w:type="dxa"/>
              <w:shd w:val="clear" w:color="auto" w:fill="auto"/>
              <w:tblLayout w:type="fixed"/>
              <w:tblCellMar>
                <w:top w:w="0" w:type="dxa"/>
                <w:left w:w="108" w:type="dxa"/>
                <w:bottom w:w="0" w:type="dxa"/>
                <w:right w:w="108" w:type="dxa"/>
              </w:tblCellMar>
            </w:tblPr>
            <w:tblGrid>
              <w:gridCol w:w="381"/>
              <w:gridCol w:w="285"/>
              <w:gridCol w:w="525"/>
              <w:gridCol w:w="3430"/>
              <w:gridCol w:w="1175"/>
              <w:gridCol w:w="655"/>
              <w:gridCol w:w="1250"/>
              <w:gridCol w:w="430"/>
              <w:gridCol w:w="1440"/>
              <w:gridCol w:w="1380"/>
              <w:gridCol w:w="192"/>
              <w:gridCol w:w="903"/>
              <w:gridCol w:w="330"/>
              <w:gridCol w:w="533"/>
              <w:gridCol w:w="852"/>
              <w:gridCol w:w="1544"/>
              <w:gridCol w:w="5"/>
            </w:tblGrid>
            <w:tr>
              <w:tblPrEx>
                <w:shd w:val="clear" w:color="auto" w:fill="auto"/>
                <w:tblCellMar>
                  <w:top w:w="0" w:type="dxa"/>
                  <w:left w:w="108" w:type="dxa"/>
                  <w:bottom w:w="0" w:type="dxa"/>
                  <w:right w:w="108" w:type="dxa"/>
                </w:tblCellMar>
              </w:tblPrEx>
              <w:trPr>
                <w:trHeight w:val="255" w:hRule="atLeast"/>
              </w:trPr>
              <w:tc>
                <w:tcPr>
                  <w:tcW w:w="38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2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605"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5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2"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0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63"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5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49" w:type="dxa"/>
                  <w:gridSpan w:val="2"/>
                  <w:tcBorders>
                    <w:top w:val="nil"/>
                    <w:left w:val="nil"/>
                    <w:bottom w:val="nil"/>
                    <w:right w:val="nil"/>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shd w:val="clear" w:color="auto" w:fill="auto"/>
                <w:tblCellMar>
                  <w:top w:w="0" w:type="dxa"/>
                  <w:left w:w="108" w:type="dxa"/>
                  <w:bottom w:w="0" w:type="dxa"/>
                  <w:right w:w="108" w:type="dxa"/>
                </w:tblCellMar>
              </w:tblPrEx>
              <w:trPr>
                <w:trHeight w:val="255" w:hRule="atLeast"/>
              </w:trPr>
              <w:tc>
                <w:tcPr>
                  <w:tcW w:w="5796" w:type="dxa"/>
                  <w:gridSpan w:val="5"/>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部门：湘西土家族苗族自治州市场监督管理局(本级)</w:t>
                  </w:r>
                </w:p>
              </w:tc>
              <w:tc>
                <w:tcPr>
                  <w:tcW w:w="6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5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42"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0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63"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5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49" w:type="dxa"/>
                  <w:gridSpan w:val="2"/>
                  <w:tcBorders>
                    <w:top w:val="nil"/>
                    <w:left w:val="nil"/>
                    <w:bottom w:val="nil"/>
                    <w:right w:val="nil"/>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4621"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30"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680"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44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3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425" w:type="dxa"/>
                  <w:gridSpan w:val="3"/>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385"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54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3430"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3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25"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8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4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430"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3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25"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8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4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5" w:type="dxa"/>
                <w:trHeight w:val="312" w:hRule="atLeast"/>
              </w:trPr>
              <w:tc>
                <w:tcPr>
                  <w:tcW w:w="1191"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430"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3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25"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8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4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5" w:type="dxa"/>
                <w:trHeight w:val="308" w:hRule="atLeast"/>
              </w:trPr>
              <w:tc>
                <w:tcPr>
                  <w:tcW w:w="4621"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3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8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2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85"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4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4621"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5,429.85</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5,429.35</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0.50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4,430.32</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4,429.82</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发展与改革事务</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181.91</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181.91</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2010401</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128.92</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128.92</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2010402</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21.38</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21.38</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2010408</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物价管理</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31.60</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14.62</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14.62</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14.62</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14.62</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商贸事务</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106.12</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106.12</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2011350</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103.12</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103.12</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2011399</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其他商贸事务支出</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20114</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知识产权事务</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46.00</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2011405</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国家知识产权战略</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46.00</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市场监督管理事务</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4,046.67</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4,046.17</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2013801</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2,883.81</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2,883.31</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2013802</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2013803</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2013804</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市场主体管理</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182.00</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2013805</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市场秩序执法</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146.19</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146.19</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2013810</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质量基础</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2013812</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药品事务</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68.93</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68.93</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2013813</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医疗器械事务</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36.23</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36.23</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2013814</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化妆品事务</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2013816</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食品安全监管</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138.00</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2013850</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166.88</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166.88</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2013899</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其他市场监督管理事务</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355.74</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355.74</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进修及培训</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2050803</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培训支出</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20601</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科学技术管理事务</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2060102</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620.42</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620.42</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2080109</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社会保险经办机构</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547.46</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547.46</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251.91</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251.91</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8.78</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8.78</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286.77</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286.77</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60.82</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60.82</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54.81</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54.81</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2080802</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伤残抚恤</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127.03</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127.03</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127.03</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127.03</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120.61</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120.61</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6.42</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6.42</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217.78</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217.78</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217.78</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217.78</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217.78</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217.78</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5" w:type="dxa"/>
                <w:trHeight w:val="308" w:hRule="atLeast"/>
              </w:trPr>
              <w:tc>
                <w:tcPr>
                  <w:tcW w:w="119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2299901</w:t>
                  </w:r>
                </w:p>
              </w:tc>
              <w:tc>
                <w:tcPr>
                  <w:tcW w:w="34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83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4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2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8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5310" w:type="dxa"/>
                  <w:gridSpan w:val="1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rPr>
                <w:rFonts w:hint="eastAsia"/>
              </w:rPr>
            </w:pPr>
          </w:p>
          <w:p>
            <w:pPr>
              <w:rPr>
                <w:rFonts w:hint="eastAsia"/>
              </w:rPr>
            </w:pPr>
          </w:p>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5"/>
        <w:tblW w:w="15521" w:type="dxa"/>
        <w:tblInd w:w="93" w:type="dxa"/>
        <w:tblLayout w:type="fixed"/>
        <w:tblCellMar>
          <w:top w:w="0" w:type="dxa"/>
          <w:left w:w="108" w:type="dxa"/>
          <w:bottom w:w="0" w:type="dxa"/>
          <w:right w:w="108" w:type="dxa"/>
        </w:tblCellMar>
      </w:tblPr>
      <w:tblGrid>
        <w:gridCol w:w="3154"/>
        <w:gridCol w:w="615"/>
        <w:gridCol w:w="1470"/>
        <w:gridCol w:w="366"/>
        <w:gridCol w:w="3024"/>
        <w:gridCol w:w="660"/>
        <w:gridCol w:w="1575"/>
        <w:gridCol w:w="1485"/>
        <w:gridCol w:w="1599"/>
        <w:gridCol w:w="1573"/>
      </w:tblGrid>
      <w:tr>
        <w:tblPrEx>
          <w:tblCellMar>
            <w:top w:w="0" w:type="dxa"/>
            <w:left w:w="108" w:type="dxa"/>
            <w:bottom w:w="0" w:type="dxa"/>
            <w:right w:w="108" w:type="dxa"/>
          </w:tblCellMar>
        </w:tblPrEx>
        <w:trPr>
          <w:trHeight w:val="435" w:hRule="atLeast"/>
        </w:trPr>
        <w:tc>
          <w:tcPr>
            <w:tcW w:w="1552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630" w:hRule="atLeast"/>
        </w:trPr>
        <w:tc>
          <w:tcPr>
            <w:tcW w:w="15521" w:type="dxa"/>
            <w:gridSpan w:val="10"/>
            <w:tcBorders>
              <w:top w:val="nil"/>
              <w:left w:val="nil"/>
              <w:bottom w:val="nil"/>
              <w:right w:val="nil"/>
            </w:tcBorders>
            <w:shd w:val="clear" w:color="auto" w:fill="auto"/>
            <w:vAlign w:val="center"/>
          </w:tcPr>
          <w:tbl>
            <w:tblPr>
              <w:tblStyle w:val="5"/>
              <w:tblW w:w="15217" w:type="dxa"/>
              <w:tblInd w:w="-20" w:type="dxa"/>
              <w:shd w:val="clear" w:color="auto" w:fill="auto"/>
              <w:tblLayout w:type="fixed"/>
              <w:tblCellMar>
                <w:top w:w="0" w:type="dxa"/>
                <w:left w:w="108" w:type="dxa"/>
                <w:bottom w:w="0" w:type="dxa"/>
                <w:right w:w="108" w:type="dxa"/>
              </w:tblCellMar>
            </w:tblPr>
            <w:tblGrid>
              <w:gridCol w:w="5"/>
              <w:gridCol w:w="1418"/>
              <w:gridCol w:w="3605"/>
              <w:gridCol w:w="355"/>
              <w:gridCol w:w="1905"/>
              <w:gridCol w:w="1920"/>
              <w:gridCol w:w="1380"/>
              <w:gridCol w:w="315"/>
              <w:gridCol w:w="754"/>
              <w:gridCol w:w="806"/>
              <w:gridCol w:w="1215"/>
              <w:gridCol w:w="1534"/>
              <w:gridCol w:w="5"/>
            </w:tblGrid>
            <w:tr>
              <w:tblPrEx>
                <w:shd w:val="clear" w:color="auto" w:fill="auto"/>
                <w:tblCellMar>
                  <w:top w:w="0" w:type="dxa"/>
                  <w:left w:w="108" w:type="dxa"/>
                  <w:bottom w:w="0" w:type="dxa"/>
                  <w:right w:w="108" w:type="dxa"/>
                </w:tblCellMar>
              </w:tblPrEx>
              <w:trPr>
                <w:gridBefore w:val="1"/>
                <w:wBefore w:w="5" w:type="dxa"/>
                <w:trHeight w:val="255" w:hRule="atLeast"/>
              </w:trPr>
              <w:tc>
                <w:tcPr>
                  <w:tcW w:w="141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0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205"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6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1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39"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shd w:val="clear" w:color="auto" w:fill="auto"/>
                <w:tblCellMar>
                  <w:top w:w="0" w:type="dxa"/>
                  <w:left w:w="108" w:type="dxa"/>
                  <w:bottom w:w="0" w:type="dxa"/>
                  <w:right w:w="108" w:type="dxa"/>
                </w:tblCellMar>
              </w:tblPrEx>
              <w:trPr>
                <w:gridBefore w:val="1"/>
                <w:wBefore w:w="5" w:type="dxa"/>
                <w:trHeight w:val="255" w:hRule="atLeast"/>
              </w:trPr>
              <w:tc>
                <w:tcPr>
                  <w:tcW w:w="5023"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部门：湘西土家族苗族自治州市场监督管理局(本级)</w:t>
                  </w:r>
                </w:p>
              </w:tc>
              <w:tc>
                <w:tcPr>
                  <w:tcW w:w="3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205"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69"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1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39"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5383"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90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92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95"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560"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21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53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3960" w:type="dxa"/>
                  <w:gridSpan w:val="2"/>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9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9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6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3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60" w:type="dxa"/>
                  <w:gridSpan w:val="2"/>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9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9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9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6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3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5" w:type="dxa"/>
                <w:trHeight w:val="312" w:hRule="atLeast"/>
              </w:trPr>
              <w:tc>
                <w:tcPr>
                  <w:tcW w:w="1423" w:type="dxa"/>
                  <w:gridSpan w:val="2"/>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60" w:type="dxa"/>
                  <w:gridSpan w:val="2"/>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90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9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9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60"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3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5" w:type="dxa"/>
                <w:trHeight w:val="308" w:hRule="atLeast"/>
              </w:trPr>
              <w:tc>
                <w:tcPr>
                  <w:tcW w:w="5383"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90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2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95"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6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1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3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5383"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5,136.68</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4,430.32</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706.36</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297"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4,155.43</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3,457.87</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697.56</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发展与改革事务</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179.86</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158.48</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21.38</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2010401</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126.87</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126.87</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2010402</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21.38</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21.38</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2010408</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物价管理</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31.60</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31.60</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14.62</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14.62</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14.62</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14.62</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商贸事务</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103.11</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103.11</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2011350</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103.11</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103.11</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20114</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知识产权事务</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2011405</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国家知识产权战略</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市场监督管理事务</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3,857.64</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3,181.66</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675.98</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2013801</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3,028.08</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3,028.08</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2013802</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60.71</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60.71</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2013803</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2013804</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市场主体管理</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276.62</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276.62</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2013805</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市场秩序执法</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160.71</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160.71</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2013810</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质量基础</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2013812</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药品事务</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2013813</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医疗器械事务</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0.67</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0.67</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2013814</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化妆品事务</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8.13</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8.13</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2013816</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食品安全监管</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31.98</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31.98</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2013850</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148.80</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148.80</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2013899</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其他市场监督管理事务</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125.31</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125.31</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进修及培训</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2050803</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培训支出</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20601</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科学技术管理事务</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2060102</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603.86</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603.86</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2080109</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社会保险经办机构</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547.41</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547.41</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251.91</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251.91</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8.78</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8.78</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286.72</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286.72</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44.33</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44.33</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38.32</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38.32</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2080802</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伤残抚恤</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127.03</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127.03</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127.03</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127.03</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120.61</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120.61</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6.42</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6.42</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217.78</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217.78</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217.78</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217.78</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217.78</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217.78</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5" w:type="dxa"/>
                <w:trHeight w:val="308" w:hRule="atLeast"/>
              </w:trPr>
              <w:tc>
                <w:tcPr>
                  <w:tcW w:w="142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2299901</w:t>
                  </w:r>
                </w:p>
              </w:tc>
              <w:tc>
                <w:tcPr>
                  <w:tcW w:w="39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92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5"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6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widowControl/>
              <w:jc w:val="left"/>
              <w:rPr>
                <w:rFonts w:hint="eastAsia" w:ascii="宋体" w:hAnsi="宋体" w:eastAsia="宋体" w:cs="宋体"/>
                <w:kern w:val="0"/>
                <w:sz w:val="24"/>
                <w:szCs w:val="24"/>
              </w:rPr>
            </w:pPr>
          </w:p>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trHeight w:val="285" w:hRule="atLeast"/>
        </w:trPr>
        <w:tc>
          <w:tcPr>
            <w:tcW w:w="3154"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61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836"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02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660"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48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99"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rPr>
          <w:trHeight w:val="360" w:hRule="atLeast"/>
        </w:trPr>
        <w:tc>
          <w:tcPr>
            <w:tcW w:w="1552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15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1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7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9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9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rPr>
          <w:trHeight w:val="300" w:hRule="atLeast"/>
        </w:trPr>
        <w:tc>
          <w:tcPr>
            <w:tcW w:w="5239" w:type="dxa"/>
            <w:gridSpan w:val="3"/>
            <w:tcBorders>
              <w:top w:val="nil"/>
              <w:left w:val="nil"/>
              <w:bottom w:val="nil"/>
              <w:right w:val="nil"/>
            </w:tcBorders>
            <w:shd w:val="clear" w:color="000000" w:fill="FFFFFF"/>
            <w:noWrap/>
            <w:vAlign w:val="bottom"/>
          </w:tcPr>
          <w:p>
            <w:pPr>
              <w:rPr>
                <w:rFonts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部门：湘西土家族苗族自治州市场监督管理局(本级)</w:t>
            </w:r>
          </w:p>
        </w:tc>
        <w:tc>
          <w:tcPr>
            <w:tcW w:w="3390" w:type="dxa"/>
            <w:gridSpan w:val="2"/>
            <w:tcBorders>
              <w:top w:val="nil"/>
              <w:left w:val="nil"/>
              <w:bottom w:val="nil"/>
              <w:right w:val="nil"/>
            </w:tcBorders>
            <w:shd w:val="clear" w:color="000000" w:fill="FFFFFF"/>
            <w:noWrap/>
            <w:vAlign w:val="bottom"/>
          </w:tcPr>
          <w:p>
            <w:pPr>
              <w:rPr>
                <w:rFonts w:ascii="宋体" w:hAnsi="宋体" w:eastAsia="宋体" w:cs="宋体"/>
                <w:kern w:val="0"/>
                <w:sz w:val="24"/>
                <w:szCs w:val="24"/>
              </w:rPr>
            </w:pPr>
          </w:p>
        </w:tc>
        <w:tc>
          <w:tcPr>
            <w:tcW w:w="660" w:type="dxa"/>
            <w:tcBorders>
              <w:top w:val="nil"/>
              <w:left w:val="nil"/>
              <w:bottom w:val="nil"/>
              <w:right w:val="nil"/>
            </w:tcBorders>
            <w:shd w:val="clear" w:color="000000" w:fill="FFFFFF"/>
            <w:noWrap/>
            <w:vAlign w:val="bottom"/>
          </w:tcPr>
          <w:p>
            <w:pPr>
              <w:rPr>
                <w:rFonts w:ascii="宋体" w:hAnsi="宋体" w:eastAsia="宋体" w:cs="宋体"/>
                <w:kern w:val="0"/>
                <w:sz w:val="24"/>
                <w:szCs w:val="24"/>
              </w:rPr>
            </w:pPr>
          </w:p>
        </w:tc>
        <w:tc>
          <w:tcPr>
            <w:tcW w:w="1575" w:type="dxa"/>
            <w:tcBorders>
              <w:top w:val="nil"/>
              <w:left w:val="nil"/>
              <w:bottom w:val="nil"/>
              <w:right w:val="nil"/>
            </w:tcBorders>
            <w:shd w:val="clear" w:color="000000" w:fill="FFFFFF"/>
            <w:noWrap/>
            <w:vAlign w:val="bottom"/>
          </w:tcPr>
          <w:p>
            <w:pPr>
              <w:rPr>
                <w:rFonts w:ascii="宋体" w:hAnsi="宋体" w:eastAsia="宋体" w:cs="宋体"/>
                <w:kern w:val="0"/>
                <w:sz w:val="24"/>
                <w:szCs w:val="24"/>
              </w:rPr>
            </w:pPr>
          </w:p>
        </w:tc>
        <w:tc>
          <w:tcPr>
            <w:tcW w:w="1485" w:type="dxa"/>
            <w:tcBorders>
              <w:top w:val="nil"/>
              <w:left w:val="nil"/>
              <w:bottom w:val="nil"/>
              <w:right w:val="nil"/>
            </w:tcBorders>
            <w:shd w:val="clear" w:color="000000" w:fill="FFFFFF"/>
            <w:noWrap/>
            <w:vAlign w:val="bottom"/>
          </w:tcPr>
          <w:p>
            <w:pPr>
              <w:rPr>
                <w:rFonts w:ascii="宋体" w:hAnsi="宋体" w:eastAsia="宋体" w:cs="宋体"/>
                <w:kern w:val="0"/>
                <w:sz w:val="24"/>
                <w:szCs w:val="24"/>
              </w:rPr>
            </w:pPr>
          </w:p>
        </w:tc>
        <w:tc>
          <w:tcPr>
            <w:tcW w:w="1599" w:type="dxa"/>
            <w:tcBorders>
              <w:top w:val="nil"/>
              <w:left w:val="nil"/>
              <w:bottom w:val="nil"/>
              <w:right w:val="nil"/>
            </w:tcBorders>
            <w:shd w:val="clear" w:color="000000" w:fill="FFFFFF"/>
            <w:noWrap/>
            <w:vAlign w:val="bottom"/>
          </w:tcPr>
          <w:p>
            <w:pPr>
              <w:rPr>
                <w:rFonts w:ascii="宋体" w:hAnsi="宋体" w:eastAsia="宋体" w:cs="宋体"/>
                <w:kern w:val="0"/>
                <w:sz w:val="24"/>
                <w:szCs w:val="24"/>
              </w:rPr>
            </w:pPr>
          </w:p>
        </w:tc>
        <w:tc>
          <w:tcPr>
            <w:tcW w:w="1573" w:type="dxa"/>
            <w:tcBorders>
              <w:top w:val="nil"/>
              <w:left w:val="nil"/>
              <w:bottom w:val="nil"/>
              <w:right w:val="nil"/>
            </w:tcBorders>
            <w:shd w:val="clear" w:color="000000" w:fill="FFFFFF"/>
            <w:noWrap/>
            <w:vAlign w:val="bottom"/>
          </w:tcPr>
          <w:p>
            <w:pPr>
              <w:keepNext w:val="0"/>
              <w:keepLines w:val="0"/>
              <w:widowControl/>
              <w:suppressLineNumbers w:val="0"/>
              <w:jc w:val="right"/>
              <w:textAlignment w:val="bottom"/>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单位：万元</w:t>
            </w:r>
          </w:p>
        </w:tc>
      </w:tr>
      <w:tr>
        <w:tblPrEx>
          <w:tblCellMar>
            <w:top w:w="0" w:type="dxa"/>
            <w:left w:w="108" w:type="dxa"/>
            <w:bottom w:w="0" w:type="dxa"/>
            <w:right w:w="108" w:type="dxa"/>
          </w:tblCellMar>
        </w:tblPrEx>
        <w:trPr>
          <w:trHeight w:val="402" w:hRule="atLeast"/>
        </w:trPr>
        <w:tc>
          <w:tcPr>
            <w:tcW w:w="523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收     入</w:t>
            </w:r>
          </w:p>
        </w:tc>
        <w:tc>
          <w:tcPr>
            <w:tcW w:w="10282" w:type="dxa"/>
            <w:gridSpan w:val="7"/>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支     出</w:t>
            </w:r>
          </w:p>
        </w:tc>
      </w:tr>
      <w:tr>
        <w:tblPrEx>
          <w:tblCellMar>
            <w:top w:w="0" w:type="dxa"/>
            <w:left w:w="108" w:type="dxa"/>
            <w:bottom w:w="0" w:type="dxa"/>
            <w:right w:w="108" w:type="dxa"/>
          </w:tblCellMar>
        </w:tblPrEx>
        <w:trPr>
          <w:trHeight w:val="630" w:hRule="atLeast"/>
        </w:trPr>
        <w:tc>
          <w:tcPr>
            <w:tcW w:w="315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项目</w:t>
            </w:r>
          </w:p>
        </w:tc>
        <w:tc>
          <w:tcPr>
            <w:tcW w:w="6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行次</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金额</w:t>
            </w:r>
          </w:p>
        </w:tc>
        <w:tc>
          <w:tcPr>
            <w:tcW w:w="33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项目</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行次</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4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5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CellMar>
            <w:top w:w="0" w:type="dxa"/>
            <w:left w:w="108" w:type="dxa"/>
            <w:bottom w:w="0" w:type="dxa"/>
            <w:right w:w="108" w:type="dxa"/>
          </w:tblCellMar>
        </w:tblPrEx>
        <w:trPr>
          <w:trHeight w:val="402" w:hRule="atLeast"/>
        </w:trPr>
        <w:tc>
          <w:tcPr>
            <w:tcW w:w="315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61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3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66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4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5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15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6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5,429.35</w:t>
            </w:r>
          </w:p>
        </w:tc>
        <w:tc>
          <w:tcPr>
            <w:tcW w:w="33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4,155.43</w:t>
            </w:r>
          </w:p>
        </w:tc>
        <w:tc>
          <w:tcPr>
            <w:tcW w:w="14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4,155.43</w:t>
            </w:r>
          </w:p>
        </w:tc>
        <w:tc>
          <w:tcPr>
            <w:tcW w:w="15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15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6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15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6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154"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6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4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3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154"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6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4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3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23.78</w:t>
            </w:r>
          </w:p>
        </w:tc>
        <w:tc>
          <w:tcPr>
            <w:tcW w:w="14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23.78</w:t>
            </w:r>
          </w:p>
        </w:tc>
        <w:tc>
          <w:tcPr>
            <w:tcW w:w="15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154"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6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4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3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3.80</w:t>
            </w:r>
          </w:p>
        </w:tc>
        <w:tc>
          <w:tcPr>
            <w:tcW w:w="14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3.80</w:t>
            </w:r>
          </w:p>
        </w:tc>
        <w:tc>
          <w:tcPr>
            <w:tcW w:w="15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154"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6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4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3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154"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6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4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3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603.86</w:t>
            </w:r>
          </w:p>
        </w:tc>
        <w:tc>
          <w:tcPr>
            <w:tcW w:w="14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603.86</w:t>
            </w:r>
          </w:p>
        </w:tc>
        <w:tc>
          <w:tcPr>
            <w:tcW w:w="15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154"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b/>
                <w:bCs/>
                <w:kern w:val="0"/>
                <w:sz w:val="22"/>
              </w:rPr>
            </w:pPr>
          </w:p>
        </w:tc>
        <w:tc>
          <w:tcPr>
            <w:tcW w:w="6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4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3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127.03</w:t>
            </w:r>
          </w:p>
        </w:tc>
        <w:tc>
          <w:tcPr>
            <w:tcW w:w="14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127.03</w:t>
            </w:r>
          </w:p>
        </w:tc>
        <w:tc>
          <w:tcPr>
            <w:tcW w:w="15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154"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6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4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3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154"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6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4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3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154"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6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4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3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154"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6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4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3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154"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b/>
                <w:bCs/>
                <w:kern w:val="0"/>
                <w:sz w:val="22"/>
              </w:rPr>
            </w:pPr>
          </w:p>
        </w:tc>
        <w:tc>
          <w:tcPr>
            <w:tcW w:w="61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4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39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66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48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tbl>
      <w:tblPr>
        <w:tblStyle w:val="5"/>
        <w:tblW w:w="14219" w:type="dxa"/>
        <w:jc w:val="center"/>
        <w:tblLayout w:type="fixed"/>
        <w:tblCellMar>
          <w:top w:w="0" w:type="dxa"/>
          <w:left w:w="108" w:type="dxa"/>
          <w:bottom w:w="0" w:type="dxa"/>
          <w:right w:w="108" w:type="dxa"/>
        </w:tblCellMar>
      </w:tblPr>
      <w:tblGrid>
        <w:gridCol w:w="14219"/>
      </w:tblGrid>
      <w:tr>
        <w:tblPrEx>
          <w:tblCellMar>
            <w:top w:w="0" w:type="dxa"/>
            <w:left w:w="108" w:type="dxa"/>
            <w:bottom w:w="0" w:type="dxa"/>
            <w:right w:w="108" w:type="dxa"/>
          </w:tblCellMar>
        </w:tblPrEx>
        <w:trPr>
          <w:trHeight w:val="645" w:hRule="atLeast"/>
          <w:jc w:val="center"/>
        </w:trPr>
        <w:tc>
          <w:tcPr>
            <w:tcW w:w="14219" w:type="dxa"/>
            <w:tcBorders>
              <w:top w:val="nil"/>
              <w:left w:val="nil"/>
              <w:bottom w:val="nil"/>
              <w:right w:val="nil"/>
            </w:tcBorders>
            <w:shd w:val="clear" w:color="auto" w:fill="auto"/>
            <w:vAlign w:val="center"/>
          </w:tcPr>
          <w:tbl>
            <w:tblPr>
              <w:tblStyle w:val="5"/>
              <w:tblW w:w="11976" w:type="dxa"/>
              <w:tblInd w:w="-20" w:type="dxa"/>
              <w:shd w:val="clear" w:color="auto" w:fill="auto"/>
              <w:tblLayout w:type="fixed"/>
              <w:tblCellMar>
                <w:top w:w="0" w:type="dxa"/>
                <w:left w:w="108" w:type="dxa"/>
                <w:bottom w:w="0" w:type="dxa"/>
                <w:right w:w="108" w:type="dxa"/>
              </w:tblCellMar>
            </w:tblPr>
            <w:tblGrid>
              <w:gridCol w:w="5"/>
              <w:gridCol w:w="330"/>
              <w:gridCol w:w="330"/>
              <w:gridCol w:w="330"/>
              <w:gridCol w:w="281"/>
              <w:gridCol w:w="3938"/>
              <w:gridCol w:w="135"/>
              <w:gridCol w:w="1830"/>
              <w:gridCol w:w="286"/>
              <w:gridCol w:w="5"/>
              <w:gridCol w:w="1961"/>
              <w:gridCol w:w="286"/>
              <w:gridCol w:w="5"/>
              <w:gridCol w:w="1961"/>
              <w:gridCol w:w="288"/>
              <w:gridCol w:w="5"/>
            </w:tblGrid>
            <w:tr>
              <w:tblPrEx>
                <w:shd w:val="clear" w:color="auto" w:fill="auto"/>
                <w:tblCellMar>
                  <w:top w:w="0" w:type="dxa"/>
                  <w:left w:w="108" w:type="dxa"/>
                  <w:bottom w:w="0" w:type="dxa"/>
                  <w:right w:w="108" w:type="dxa"/>
                </w:tblCellMar>
              </w:tblPrEx>
              <w:trPr>
                <w:gridBefore w:val="1"/>
                <w:gridAfter w:val="2"/>
                <w:wBefore w:w="5" w:type="dxa"/>
                <w:wAfter w:w="293" w:type="dxa"/>
                <w:trHeight w:val="255" w:hRule="atLeast"/>
              </w:trPr>
              <w:tc>
                <w:tcPr>
                  <w:tcW w:w="330"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r>
                    <w:rPr>
                      <w:rFonts w:hint="eastAsia" w:ascii="Times New Roman" w:hAnsi="Times New Roman" w:eastAsia="仿宋_GB2312" w:cs="Times New Roman"/>
                      <w:color w:val="000000"/>
                      <w:kern w:val="0"/>
                      <w:szCs w:val="21"/>
                    </w:rPr>
                    <w:t xml:space="preserve"> </w:t>
                  </w:r>
                </w:p>
              </w:tc>
              <w:tc>
                <w:tcPr>
                  <w:tcW w:w="3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54"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52"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52" w:type="dxa"/>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shd w:val="clear" w:color="auto" w:fill="auto"/>
                <w:tblCellMar>
                  <w:top w:w="0" w:type="dxa"/>
                  <w:left w:w="108" w:type="dxa"/>
                  <w:bottom w:w="0" w:type="dxa"/>
                  <w:right w:w="108" w:type="dxa"/>
                </w:tblCellMar>
              </w:tblPrEx>
              <w:trPr>
                <w:gridBefore w:val="1"/>
                <w:wBefore w:w="5" w:type="dxa"/>
                <w:trHeight w:val="255" w:hRule="atLeast"/>
              </w:trPr>
              <w:tc>
                <w:tcPr>
                  <w:tcW w:w="5209" w:type="dxa"/>
                  <w:gridSpan w:val="5"/>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部门：湘西土家族苗族自治州市场监督管理局(本级)</w:t>
                  </w:r>
                </w:p>
              </w:tc>
              <w:tc>
                <w:tcPr>
                  <w:tcW w:w="2256"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52"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54" w:type="dxa"/>
                  <w:gridSpan w:val="3"/>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单位：万元</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5349" w:type="dxa"/>
                  <w:gridSpan w:val="7"/>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622" w:type="dxa"/>
                  <w:gridSpan w:val="8"/>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4073" w:type="dxa"/>
                  <w:gridSpan w:val="2"/>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116"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52"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54"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shd w:val="clear" w:color="auto" w:fill="auto"/>
                <w:tblCellMar>
                  <w:top w:w="0" w:type="dxa"/>
                  <w:left w:w="108" w:type="dxa"/>
                  <w:bottom w:w="0" w:type="dxa"/>
                  <w:right w:w="108" w:type="dxa"/>
                </w:tblCellMar>
              </w:tblPrEx>
              <w:trPr>
                <w:gridAfter w:val="1"/>
                <w:wAfter w:w="5" w:type="dxa"/>
                <w:trHeight w:val="277" w:hRule="atLeast"/>
              </w:trPr>
              <w:tc>
                <w:tcPr>
                  <w:tcW w:w="1276" w:type="dxa"/>
                  <w:gridSpan w:val="5"/>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073" w:type="dxa"/>
                  <w:gridSpan w:val="2"/>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116"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2" w:type="dxa"/>
                  <w:gridSpan w:val="3"/>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4" w:type="dxa"/>
                  <w:gridSpan w:val="3"/>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073" w:type="dxa"/>
                  <w:gridSpan w:val="2"/>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116"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2" w:type="dxa"/>
                  <w:gridSpan w:val="3"/>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4" w:type="dxa"/>
                  <w:gridSpan w:val="3"/>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5" w:type="dxa"/>
                <w:trHeight w:val="308" w:hRule="atLeast"/>
              </w:trPr>
              <w:tc>
                <w:tcPr>
                  <w:tcW w:w="5349" w:type="dxa"/>
                  <w:gridSpan w:val="7"/>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116"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52"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54"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5349" w:type="dxa"/>
                  <w:gridSpan w:val="7"/>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5,136.68</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4,430.32</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706.36</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4,155.43</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3,457.87</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697.56</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发展与改革事务</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179.86</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158.48</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21.38</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2010401</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126.87</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126.87</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2010402</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21.38</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21.38</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2010408</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物价管理</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31.60</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31.60</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14.62</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14.62</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14.62</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14.62</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商贸事务</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103.11</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103.11</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2011350</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103.11</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103.11</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20114</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知识产权事务</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2011405</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国家知识产权战略</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市场监督管理事务</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3,857.64</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3,181.66</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675.98</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2013801</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3,028.08</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3,028.08</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2013802</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60.71</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60.71</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2013803</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2013804</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市场主体管理</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276.62</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276.62</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2013805</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市场秩序执法</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160.71</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160.71</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2013810</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质量基础</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2013812</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药品事务</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2013813</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医疗器械事务</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0.67</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0.67</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2013814</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化妆品事务</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8.13</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8.13</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2013816</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食品安全监管</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31.98</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31.98</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2013850</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148.80</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148.80</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2013899</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其他市场监督管理事务</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125.31</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125.31</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进修及培训</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2050803</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培训支出</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20601</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科学技术管理事务</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2060102</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603.86</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603.86</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2080109</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社会保险经办机构</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547.41</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547.41</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251.91</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251.91</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8.78</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8.78</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286.72</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286.72</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44.33</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44.33</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38.32</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38.32</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2080802</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伤残抚恤</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127.03</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127.03</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127.03</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127.03</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120.61</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120.61</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6.42</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6.42</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217.78</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217.78</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217.78</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217.78</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217.78</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217.78</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CellMar>
                  <w:top w:w="0" w:type="dxa"/>
                  <w:left w:w="108" w:type="dxa"/>
                  <w:bottom w:w="0" w:type="dxa"/>
                  <w:right w:w="108" w:type="dxa"/>
                </w:tblCellMar>
              </w:tblPrEx>
              <w:trPr>
                <w:gridAfter w:val="1"/>
                <w:wAfter w:w="5" w:type="dxa"/>
                <w:trHeight w:val="308" w:hRule="atLeast"/>
              </w:trPr>
              <w:tc>
                <w:tcPr>
                  <w:tcW w:w="1276"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2299901</w:t>
                  </w:r>
                </w:p>
              </w:tc>
              <w:tc>
                <w:tcPr>
                  <w:tcW w:w="4073"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11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25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54"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fixed"/>
        <w:tblCellMar>
          <w:top w:w="0" w:type="dxa"/>
          <w:left w:w="108" w:type="dxa"/>
          <w:bottom w:w="0" w:type="dxa"/>
          <w:right w:w="108" w:type="dxa"/>
        </w:tblCellMar>
      </w:tblPr>
      <w:tblGrid>
        <w:gridCol w:w="1057"/>
        <w:gridCol w:w="3450"/>
        <w:gridCol w:w="1215"/>
        <w:gridCol w:w="1110"/>
        <w:gridCol w:w="2058"/>
        <w:gridCol w:w="1242"/>
        <w:gridCol w:w="1080"/>
        <w:gridCol w:w="3315"/>
        <w:gridCol w:w="1087"/>
      </w:tblGrid>
      <w:tr>
        <w:tblPrEx>
          <w:tblCellMar>
            <w:top w:w="0" w:type="dxa"/>
            <w:left w:w="108" w:type="dxa"/>
            <w:bottom w:w="0" w:type="dxa"/>
            <w:right w:w="108" w:type="dxa"/>
          </w:tblCellMar>
        </w:tblPrEx>
        <w:trPr>
          <w:trHeight w:val="786" w:hRule="atLeast"/>
        </w:trPr>
        <w:tc>
          <w:tcPr>
            <w:tcW w:w="15614"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both"/>
              <w:rPr>
                <w:rFonts w:ascii="Times New Roman" w:hAnsi="Times New Roman" w:eastAsia="仿宋_GB2312" w:cs="Times New Roman"/>
                <w:color w:val="000000"/>
                <w:kern w:val="0"/>
                <w:szCs w:val="21"/>
              </w:rPr>
            </w:pPr>
            <w:r>
              <w:rPr>
                <w:rFonts w:hint="eastAsia" w:ascii="宋体" w:hAnsi="宋体" w:eastAsia="宋体" w:cs="宋体"/>
                <w:i w:val="0"/>
                <w:iCs w:val="0"/>
                <w:color w:val="000000"/>
                <w:kern w:val="0"/>
                <w:sz w:val="20"/>
                <w:szCs w:val="20"/>
                <w:u w:val="none"/>
                <w:lang w:val="en-US" w:eastAsia="zh-CN" w:bidi="ar"/>
              </w:rPr>
              <w:t>部门：湘西土家族苗族自治州市场监督管理局(本级)</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4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0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3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0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12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2,718.71</w:t>
            </w:r>
          </w:p>
        </w:tc>
        <w:tc>
          <w:tcPr>
            <w:tcW w:w="11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0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716.14</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3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0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2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924.07</w:t>
            </w:r>
          </w:p>
        </w:tc>
        <w:tc>
          <w:tcPr>
            <w:tcW w:w="11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0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56.12</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3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0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2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586.34</w:t>
            </w:r>
          </w:p>
        </w:tc>
        <w:tc>
          <w:tcPr>
            <w:tcW w:w="11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0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9.13</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3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0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12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86.42</w:t>
            </w:r>
          </w:p>
        </w:tc>
        <w:tc>
          <w:tcPr>
            <w:tcW w:w="11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0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3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10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0.80</w:t>
            </w:r>
          </w:p>
        </w:tc>
      </w:tr>
      <w:tr>
        <w:tblPrEx>
          <w:tblCellMar>
            <w:top w:w="0" w:type="dxa"/>
            <w:left w:w="108" w:type="dxa"/>
            <w:bottom w:w="0" w:type="dxa"/>
            <w:right w:w="108" w:type="dxa"/>
          </w:tblCellMar>
        </w:tblPrEx>
        <w:trPr>
          <w:trHeight w:val="284" w:hRule="exact"/>
        </w:trPr>
        <w:tc>
          <w:tcPr>
            <w:tcW w:w="10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2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52.89</w:t>
            </w:r>
          </w:p>
        </w:tc>
        <w:tc>
          <w:tcPr>
            <w:tcW w:w="11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0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0.02</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3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0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2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74.68</w:t>
            </w:r>
          </w:p>
        </w:tc>
        <w:tc>
          <w:tcPr>
            <w:tcW w:w="11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0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6.46</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3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0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0.80</w:t>
            </w:r>
          </w:p>
        </w:tc>
      </w:tr>
      <w:tr>
        <w:tblPrEx>
          <w:tblCellMar>
            <w:top w:w="0" w:type="dxa"/>
            <w:left w:w="108" w:type="dxa"/>
            <w:bottom w:w="0" w:type="dxa"/>
            <w:right w:w="108" w:type="dxa"/>
          </w:tblCellMar>
        </w:tblPrEx>
        <w:trPr>
          <w:trHeight w:val="284" w:hRule="exact"/>
        </w:trPr>
        <w:tc>
          <w:tcPr>
            <w:tcW w:w="10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2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251.77</w:t>
            </w:r>
          </w:p>
        </w:tc>
        <w:tc>
          <w:tcPr>
            <w:tcW w:w="11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0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34.72</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3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0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2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0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2.15</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3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0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2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166.93</w:t>
            </w:r>
          </w:p>
        </w:tc>
        <w:tc>
          <w:tcPr>
            <w:tcW w:w="11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0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3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0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2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190.12</w:t>
            </w:r>
          </w:p>
        </w:tc>
        <w:tc>
          <w:tcPr>
            <w:tcW w:w="11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0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45.97</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3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0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2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9.58</w:t>
            </w:r>
          </w:p>
        </w:tc>
        <w:tc>
          <w:tcPr>
            <w:tcW w:w="11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0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74.71</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3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0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2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329.07</w:t>
            </w:r>
          </w:p>
        </w:tc>
        <w:tc>
          <w:tcPr>
            <w:tcW w:w="11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0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3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0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2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25.89</w:t>
            </w:r>
          </w:p>
        </w:tc>
        <w:tc>
          <w:tcPr>
            <w:tcW w:w="11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0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52.23</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3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0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2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20.96</w:t>
            </w:r>
          </w:p>
        </w:tc>
        <w:tc>
          <w:tcPr>
            <w:tcW w:w="11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0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0.10</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3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0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2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994.67</w:t>
            </w:r>
          </w:p>
        </w:tc>
        <w:tc>
          <w:tcPr>
            <w:tcW w:w="11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0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1.18</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3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0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2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0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2.55</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3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0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2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0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10.36</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3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0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2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0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3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0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2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45.03</w:t>
            </w:r>
          </w:p>
        </w:tc>
        <w:tc>
          <w:tcPr>
            <w:tcW w:w="11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0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3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0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2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6.50</w:t>
            </w:r>
          </w:p>
        </w:tc>
        <w:tc>
          <w:tcPr>
            <w:tcW w:w="11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0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3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0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2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0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6.13</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3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10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2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12.20</w:t>
            </w:r>
          </w:p>
        </w:tc>
        <w:tc>
          <w:tcPr>
            <w:tcW w:w="11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0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15.52</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3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10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2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0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110.56</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3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0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2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904.30</w:t>
            </w:r>
          </w:p>
        </w:tc>
        <w:tc>
          <w:tcPr>
            <w:tcW w:w="11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0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36.66</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3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0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2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0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11.99</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33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0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0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2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24.41</w:t>
            </w:r>
          </w:p>
        </w:tc>
        <w:tc>
          <w:tcPr>
            <w:tcW w:w="11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0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194.25</w:t>
            </w:r>
          </w:p>
        </w:tc>
        <w:tc>
          <w:tcPr>
            <w:tcW w:w="1080"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331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108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0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4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2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2.23</w:t>
            </w:r>
          </w:p>
        </w:tc>
        <w:tc>
          <w:tcPr>
            <w:tcW w:w="11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0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0"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331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108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057"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450"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12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1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0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24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45.35</w:t>
            </w:r>
          </w:p>
        </w:tc>
        <w:tc>
          <w:tcPr>
            <w:tcW w:w="1080"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331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108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50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12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3,713.38</w:t>
            </w:r>
          </w:p>
        </w:tc>
        <w:tc>
          <w:tcPr>
            <w:tcW w:w="880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716.94</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firstLine="400" w:firstLineChars="200"/>
        <w:jc w:val="left"/>
        <w:rPr>
          <w:rFonts w:ascii="Times New Roman" w:hAnsi="Times New Roman" w:eastAsia="仿宋_GB2312" w:cs="Times New Roman"/>
          <w:color w:val="000000"/>
          <w:kern w:val="0"/>
          <w:szCs w:val="21"/>
        </w:rPr>
      </w:pPr>
      <w:r>
        <w:rPr>
          <w:rFonts w:hint="eastAsia" w:ascii="宋体" w:hAnsi="宋体" w:eastAsia="宋体" w:cs="宋体"/>
          <w:i w:val="0"/>
          <w:iCs w:val="0"/>
          <w:color w:val="000000"/>
          <w:kern w:val="0"/>
          <w:sz w:val="20"/>
          <w:szCs w:val="20"/>
          <w:u w:val="none"/>
          <w:lang w:val="en-US" w:eastAsia="zh-CN" w:bidi="ar"/>
        </w:rPr>
        <w:t>部门：湘西土家族苗族自治州市场监督管理局(本级)</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公务接待费</w:t>
            </w:r>
          </w:p>
        </w:tc>
        <w:tc>
          <w:tcPr>
            <w:tcW w:w="1220" w:type="dxa"/>
            <w:vMerge w:val="restart"/>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公务接待费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jc w:val="center"/>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jc w:val="center"/>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小计</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公务用车购置费</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公务用车运行费</w:t>
            </w:r>
          </w:p>
        </w:tc>
        <w:tc>
          <w:tcPr>
            <w:tcW w:w="122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jc w:val="center"/>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jc w:val="center"/>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小计</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公务用车购置费</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公务用车运行费</w:t>
            </w:r>
          </w:p>
        </w:tc>
        <w:tc>
          <w:tcPr>
            <w:tcW w:w="1220" w:type="dxa"/>
            <w:vMerge w:val="continue"/>
            <w:tcBorders>
              <w:top w:val="nil"/>
              <w:left w:val="single" w:color="auto" w:sz="4" w:space="0"/>
              <w:bottom w:val="single" w:color="000000" w:sz="4" w:space="0"/>
              <w:right w:val="single" w:color="auto" w:sz="8" w:space="0"/>
            </w:tcBorders>
            <w:vAlign w:val="center"/>
          </w:tcPr>
          <w:p>
            <w:pPr>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w:t>
            </w:r>
          </w:p>
        </w:tc>
        <w:tc>
          <w:tcPr>
            <w:tcW w:w="122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150.70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83.70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40.94</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28.21</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28.21</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12.73</w:t>
            </w:r>
          </w:p>
        </w:tc>
      </w:tr>
    </w:tbl>
    <w:p>
      <w:pPr>
        <w:widowControl/>
        <w:jc w:val="left"/>
        <w:rPr>
          <w:rFonts w:hint="eastAsia" w:ascii="宋体" w:eastAsia="宋体" w:cs="宋体"/>
          <w:kern w:val="0"/>
          <w:sz w:val="24"/>
          <w:szCs w:val="24"/>
        </w:rPr>
      </w:pPr>
    </w:p>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宋体" w:hAnsi="宋体" w:eastAsia="宋体" w:cs="宋体"/>
          <w:i w:val="0"/>
          <w:iCs w:val="0"/>
          <w:color w:val="000000"/>
          <w:kern w:val="0"/>
          <w:sz w:val="20"/>
          <w:szCs w:val="20"/>
          <w:u w:val="none"/>
          <w:lang w:val="en-US" w:eastAsia="zh-CN" w:bidi="ar"/>
        </w:rPr>
        <w:t>湘西土家族苗族自治州市场监督管理局(本级)</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公开09表</w:t>
            </w:r>
          </w:p>
        </w:tc>
      </w:tr>
      <w:tr>
        <w:trPr>
          <w:trHeight w:val="285" w:hRule="atLeast"/>
        </w:trPr>
        <w:tc>
          <w:tcPr>
            <w:tcW w:w="6060" w:type="dxa"/>
            <w:gridSpan w:val="5"/>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ascii="Times New Roman" w:hAnsi="Times New Roman" w:eastAsia="仿宋_GB2312" w:cs="Times New Roman"/>
                <w:color w:val="000000"/>
                <w:kern w:val="0"/>
                <w:szCs w:val="21"/>
              </w:rPr>
              <w:t xml:space="preserve"> </w:t>
            </w:r>
            <w:r>
              <w:rPr>
                <w:rFonts w:hint="eastAsia" w:ascii="宋体" w:hAnsi="宋体" w:eastAsia="宋体" w:cs="宋体"/>
                <w:i w:val="0"/>
                <w:iCs w:val="0"/>
                <w:color w:val="000000"/>
                <w:kern w:val="0"/>
                <w:sz w:val="20"/>
                <w:szCs w:val="20"/>
                <w:u w:val="none"/>
                <w:lang w:val="en-US" w:eastAsia="zh-CN" w:bidi="ar"/>
              </w:rPr>
              <w:t>湘西土家族苗族自治州市场监督管理局(本级)</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9"/>
        <w:rPr>
          <w:sz w:val="72"/>
          <w:szCs w:val="72"/>
        </w:rPr>
        <w:sectPr>
          <w:pgSz w:w="16838" w:h="11906" w:orient="landscape"/>
          <w:pgMar w:top="720" w:right="720" w:bottom="720" w:left="720" w:header="851" w:footer="992" w:gutter="0"/>
          <w:pgNumType w:fmt="decimal"/>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2020年度收、支总计</w:t>
      </w:r>
      <w:r>
        <w:rPr>
          <w:rFonts w:hint="eastAsia" w:asciiTheme="minorEastAsia" w:hAnsiTheme="minorEastAsia" w:eastAsiaTheme="minorEastAsia"/>
          <w:sz w:val="32"/>
          <w:szCs w:val="32"/>
          <w:lang w:val="en-US" w:eastAsia="zh-CN"/>
        </w:rPr>
        <w:t>7090.73</w:t>
      </w:r>
      <w:r>
        <w:rPr>
          <w:rFonts w:hint="eastAsia" w:asciiTheme="minorEastAsia" w:hAnsiTheme="minorEastAsia" w:eastAsiaTheme="minorEastAsia"/>
          <w:sz w:val="32"/>
          <w:szCs w:val="32"/>
        </w:rPr>
        <w:t>万元。与</w:t>
      </w:r>
      <w:r>
        <w:rPr>
          <w:rFonts w:hint="eastAsia" w:asciiTheme="minorEastAsia" w:hAnsiTheme="minorEastAsia" w:eastAsiaTheme="minorEastAsia"/>
          <w:sz w:val="32"/>
          <w:szCs w:val="32"/>
          <w:lang w:val="en-US" w:eastAsia="zh-CN"/>
        </w:rPr>
        <w:t>2019年</w:t>
      </w:r>
      <w:r>
        <w:rPr>
          <w:rFonts w:hint="eastAsia" w:asciiTheme="minorEastAsia" w:hAnsiTheme="minorEastAsia" w:eastAsiaTheme="minorEastAsia"/>
          <w:sz w:val="32"/>
          <w:szCs w:val="32"/>
        </w:rPr>
        <w:t>相比，增加</w:t>
      </w:r>
      <w:r>
        <w:rPr>
          <w:rFonts w:hint="eastAsia" w:asciiTheme="minorEastAsia" w:hAnsiTheme="minorEastAsia" w:eastAsiaTheme="minorEastAsia"/>
          <w:sz w:val="32"/>
          <w:szCs w:val="32"/>
          <w:lang w:val="en-US" w:eastAsia="zh-CN"/>
        </w:rPr>
        <w:t>147.19</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2.12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州局本级</w:t>
      </w:r>
      <w:r>
        <w:rPr>
          <w:rFonts w:hint="eastAsia" w:asciiTheme="minorEastAsia" w:hAnsiTheme="minorEastAsia" w:eastAsiaTheme="minorEastAsia"/>
          <w:sz w:val="32"/>
          <w:szCs w:val="32"/>
          <w:lang w:val="en-US" w:eastAsia="zh-CN"/>
        </w:rPr>
        <w:t>2020年新合并原</w:t>
      </w:r>
      <w:r>
        <w:rPr>
          <w:rFonts w:hint="eastAsia" w:ascii="仿宋_GB2312" w:hAnsi="楷体" w:eastAsia="仿宋_GB2312"/>
          <w:bCs/>
          <w:sz w:val="28"/>
          <w:szCs w:val="28"/>
        </w:rPr>
        <w:t>州</w:t>
      </w:r>
      <w:r>
        <w:rPr>
          <w:rFonts w:hint="eastAsia" w:asciiTheme="minorEastAsia" w:hAnsiTheme="minorEastAsia" w:eastAsiaTheme="minorEastAsia"/>
          <w:sz w:val="32"/>
          <w:szCs w:val="32"/>
          <w:lang w:eastAsia="zh-CN"/>
        </w:rPr>
        <w:t>价格监督检查局、州商务综合执法支队、州质量技术监督信息管理所三个单位。</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5429.85</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5429.35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99.99</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万元；其他收入</w:t>
      </w:r>
      <w:r>
        <w:rPr>
          <w:rFonts w:hint="eastAsia" w:asciiTheme="minorEastAsia" w:hAnsiTheme="minorEastAsia" w:eastAsiaTheme="minorEastAsia"/>
          <w:sz w:val="32"/>
          <w:szCs w:val="32"/>
          <w:lang w:val="en-US" w:eastAsia="zh-CN"/>
        </w:rPr>
        <w:t>0.5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0.01</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5136.68</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4430.32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86.25</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706.36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13.75</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万元；对附属单位补助支出</w:t>
      </w:r>
      <w:r>
        <w:rPr>
          <w:rFonts w:hint="eastAsia" w:asciiTheme="minorEastAsia" w:hAnsiTheme="minorEastAsia" w:eastAsiaTheme="minorEastAsia"/>
          <w:sz w:val="32"/>
          <w:szCs w:val="32"/>
          <w:lang w:val="en-US" w:eastAsia="zh-CN"/>
        </w:rPr>
        <w:t>0万元</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2020年度财政拨款收、支总计</w:t>
      </w:r>
      <w:r>
        <w:rPr>
          <w:rFonts w:hint="eastAsia" w:asciiTheme="minorEastAsia" w:hAnsiTheme="minorEastAsia" w:eastAsiaTheme="minorEastAsia"/>
          <w:sz w:val="32"/>
          <w:szCs w:val="32"/>
          <w:lang w:val="en-US" w:eastAsia="zh-CN"/>
        </w:rPr>
        <w:t>6949.07</w:t>
      </w:r>
      <w:r>
        <w:rPr>
          <w:rFonts w:hint="eastAsia" w:asciiTheme="minorEastAsia" w:hAnsiTheme="minorEastAsia" w:eastAsiaTheme="minorEastAsia"/>
          <w:sz w:val="32"/>
          <w:szCs w:val="32"/>
        </w:rPr>
        <w:t>万元，与</w:t>
      </w:r>
      <w:r>
        <w:rPr>
          <w:rFonts w:hint="eastAsia" w:asciiTheme="minorEastAsia" w:hAnsiTheme="minorEastAsia" w:eastAsiaTheme="minorEastAsia"/>
          <w:sz w:val="32"/>
          <w:szCs w:val="32"/>
          <w:lang w:val="en-US" w:eastAsia="zh-CN"/>
        </w:rPr>
        <w:t>2019</w:t>
      </w:r>
      <w:r>
        <w:rPr>
          <w:rFonts w:hint="eastAsia" w:asciiTheme="minorEastAsia" w:hAnsiTheme="minorEastAsia" w:eastAsiaTheme="minorEastAsia"/>
          <w:sz w:val="32"/>
          <w:szCs w:val="32"/>
        </w:rPr>
        <w:t>年相比，增加</w:t>
      </w:r>
      <w:r>
        <w:rPr>
          <w:rFonts w:hint="eastAsia" w:asciiTheme="minorEastAsia" w:hAnsiTheme="minorEastAsia" w:eastAsiaTheme="minorEastAsia"/>
          <w:sz w:val="32"/>
          <w:szCs w:val="32"/>
          <w:lang w:val="en-US" w:eastAsia="zh-CN"/>
        </w:rPr>
        <w:t>142.37</w:t>
      </w:r>
      <w:r>
        <w:rPr>
          <w:rFonts w:hint="eastAsia" w:asciiTheme="minorEastAsia" w:hAnsiTheme="minorEastAsia" w:eastAsiaTheme="minorEastAsia"/>
          <w:sz w:val="32"/>
          <w:szCs w:val="32"/>
        </w:rPr>
        <w:t>元,增长</w:t>
      </w:r>
      <w:r>
        <w:rPr>
          <w:rFonts w:hint="eastAsia" w:asciiTheme="minorEastAsia" w:hAnsiTheme="minorEastAsia" w:eastAsiaTheme="minorEastAsia"/>
          <w:sz w:val="32"/>
          <w:szCs w:val="32"/>
          <w:lang w:val="en-US" w:eastAsia="zh-CN"/>
        </w:rPr>
        <w:t>2.09</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州局本级</w:t>
      </w:r>
      <w:r>
        <w:rPr>
          <w:rFonts w:hint="eastAsia" w:asciiTheme="minorEastAsia" w:hAnsiTheme="minorEastAsia" w:eastAsiaTheme="minorEastAsia"/>
          <w:sz w:val="32"/>
          <w:szCs w:val="32"/>
          <w:lang w:val="en-US" w:eastAsia="zh-CN"/>
        </w:rPr>
        <w:t>2020年新合并原</w:t>
      </w:r>
      <w:r>
        <w:rPr>
          <w:rFonts w:hint="eastAsia" w:ascii="仿宋_GB2312" w:hAnsi="楷体" w:eastAsia="仿宋_GB2312"/>
          <w:bCs/>
          <w:sz w:val="28"/>
          <w:szCs w:val="28"/>
        </w:rPr>
        <w:t>州</w:t>
      </w:r>
      <w:r>
        <w:rPr>
          <w:rFonts w:hint="eastAsia" w:asciiTheme="minorEastAsia" w:hAnsiTheme="minorEastAsia" w:eastAsiaTheme="minorEastAsia"/>
          <w:sz w:val="32"/>
          <w:szCs w:val="32"/>
          <w:lang w:eastAsia="zh-CN"/>
        </w:rPr>
        <w:t>价格监督检查局、州商务综合执法支队、州质量技术监督信息管理所三个单位。</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5136.68</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w:t>
      </w:r>
      <w:r>
        <w:rPr>
          <w:rFonts w:hint="eastAsia" w:asciiTheme="minorEastAsia" w:hAnsiTheme="minorEastAsia" w:eastAsiaTheme="minorEastAsia"/>
          <w:sz w:val="32"/>
          <w:szCs w:val="32"/>
          <w:lang w:val="en-US" w:eastAsia="zh-CN"/>
        </w:rPr>
        <w:t>2019年</w:t>
      </w:r>
      <w:r>
        <w:rPr>
          <w:rFonts w:hint="eastAsia" w:asciiTheme="minorEastAsia" w:hAnsiTheme="minorEastAsia" w:eastAsiaTheme="minorEastAsia"/>
          <w:sz w:val="32"/>
          <w:szCs w:val="32"/>
        </w:rPr>
        <w:t>相比，财政拨款支出减少</w:t>
      </w:r>
      <w:r>
        <w:rPr>
          <w:rFonts w:hint="eastAsia" w:asciiTheme="minorEastAsia" w:hAnsiTheme="minorEastAsia" w:eastAsiaTheme="minorEastAsia"/>
          <w:sz w:val="32"/>
          <w:szCs w:val="32"/>
          <w:lang w:val="en-US" w:eastAsia="zh-CN"/>
        </w:rPr>
        <w:t>116.42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2.22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2019年使用上年结转财政拨款结转结余较多。</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5136.68</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4155.43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80.90</w:t>
      </w:r>
      <w:r>
        <w:rPr>
          <w:rFonts w:hint="eastAsia" w:asciiTheme="minorEastAsia" w:hAnsiTheme="minorEastAsia" w:eastAsiaTheme="minorEastAsia"/>
          <w:sz w:val="32"/>
          <w:szCs w:val="32"/>
        </w:rPr>
        <w:t>%；教育（类）支出</w:t>
      </w:r>
      <w:r>
        <w:rPr>
          <w:rFonts w:hint="eastAsia" w:asciiTheme="minorEastAsia" w:hAnsiTheme="minorEastAsia" w:eastAsiaTheme="minorEastAsia"/>
          <w:sz w:val="32"/>
          <w:szCs w:val="32"/>
          <w:lang w:val="en-US" w:eastAsia="zh-CN"/>
        </w:rPr>
        <w:t>23.78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0.46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科学技术支出</w:t>
      </w:r>
      <w:r>
        <w:rPr>
          <w:rFonts w:hint="eastAsia" w:asciiTheme="minorEastAsia" w:hAnsiTheme="minorEastAsia" w:eastAsiaTheme="minorEastAsia"/>
          <w:sz w:val="32"/>
          <w:szCs w:val="32"/>
          <w:lang w:val="en-US" w:eastAsia="zh-CN"/>
        </w:rPr>
        <w:t>3.80万元，占0.07%</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lang w:val="en-US" w:eastAsia="zh-CN"/>
        </w:rPr>
        <w:t>603.86万元，占11.76%；卫生健康支出127.03万元，占2.47%；住房保障支出217.78万元，占4.24%；其他支出5万元，占0.1%。</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3743.08</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5136.68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137.23</w:t>
      </w:r>
      <w:r>
        <w:rPr>
          <w:rFonts w:hint="eastAsia" w:asciiTheme="minorEastAsia" w:hAnsiTheme="minorEastAsia" w:eastAsiaTheme="minorEastAsia"/>
          <w:sz w:val="32"/>
          <w:szCs w:val="32"/>
        </w:rPr>
        <w:t>%，其中：</w:t>
      </w:r>
    </w:p>
    <w:p>
      <w:pPr>
        <w:pStyle w:val="9"/>
        <w:ind w:firstLine="800" w:firstLineChars="250"/>
        <w:rPr>
          <w:rFonts w:hint="eastAsia" w:ascii="宋体" w:eastAsia="宋体"/>
          <w:sz w:val="32"/>
          <w:szCs w:val="32"/>
        </w:rPr>
      </w:pPr>
      <w:r>
        <w:rPr>
          <w:rFonts w:hint="eastAsia" w:ascii="宋体" w:eastAsia="宋体"/>
          <w:sz w:val="32"/>
          <w:szCs w:val="32"/>
        </w:rPr>
        <w:t>1、一般公共服务（类）</w:t>
      </w:r>
      <w:r>
        <w:rPr>
          <w:rFonts w:hint="eastAsia" w:ascii="宋体" w:eastAsia="宋体"/>
          <w:sz w:val="32"/>
          <w:szCs w:val="32"/>
          <w:lang w:eastAsia="zh-CN"/>
        </w:rPr>
        <w:t>发展与改革</w:t>
      </w:r>
      <w:r>
        <w:rPr>
          <w:rFonts w:hint="eastAsia" w:ascii="宋体" w:eastAsia="宋体"/>
          <w:sz w:val="32"/>
          <w:szCs w:val="32"/>
        </w:rPr>
        <w:t>事务（款）</w:t>
      </w:r>
      <w:r>
        <w:rPr>
          <w:rFonts w:hint="eastAsia" w:ascii="宋体" w:eastAsia="宋体"/>
          <w:sz w:val="32"/>
          <w:szCs w:val="32"/>
          <w:lang w:eastAsia="zh-CN"/>
        </w:rPr>
        <w:t>行政运行</w:t>
      </w:r>
      <w:r>
        <w:rPr>
          <w:rFonts w:hint="eastAsia" w:ascii="宋体" w:eastAsia="宋体"/>
          <w:sz w:val="32"/>
          <w:szCs w:val="32"/>
        </w:rPr>
        <w:t>（项）。</w:t>
      </w:r>
    </w:p>
    <w:p>
      <w:pPr>
        <w:pStyle w:val="9"/>
        <w:ind w:firstLine="800" w:firstLineChars="250"/>
        <w:rPr>
          <w:rFonts w:hint="eastAsia" w:ascii="宋体" w:eastAsia="宋体"/>
          <w:color w:val="auto"/>
          <w:sz w:val="32"/>
          <w:szCs w:val="32"/>
          <w:lang w:val="en-US" w:eastAsia="zh-CN"/>
        </w:rPr>
      </w:pPr>
      <w:r>
        <w:rPr>
          <w:rFonts w:hint="eastAsia" w:ascii="宋体" w:eastAsia="宋体"/>
          <w:sz w:val="32"/>
          <w:szCs w:val="32"/>
        </w:rPr>
        <w:t>年初预算为</w:t>
      </w:r>
      <w:r>
        <w:rPr>
          <w:rFonts w:hint="eastAsia" w:ascii="宋体" w:eastAsia="宋体"/>
          <w:sz w:val="32"/>
          <w:szCs w:val="32"/>
          <w:lang w:val="en-US" w:eastAsia="zh-CN"/>
        </w:rPr>
        <w:t>125.16</w:t>
      </w:r>
      <w:r>
        <w:rPr>
          <w:rFonts w:hint="eastAsia" w:ascii="宋体" w:eastAsia="宋体"/>
          <w:sz w:val="32"/>
          <w:szCs w:val="32"/>
        </w:rPr>
        <w:t>万元，支出决算为</w:t>
      </w:r>
      <w:r>
        <w:rPr>
          <w:rFonts w:hint="eastAsia" w:ascii="宋体" w:eastAsia="宋体"/>
          <w:sz w:val="32"/>
          <w:szCs w:val="32"/>
          <w:lang w:val="en-US" w:eastAsia="zh-CN"/>
        </w:rPr>
        <w:t>126.87</w:t>
      </w:r>
      <w:r>
        <w:rPr>
          <w:rFonts w:hint="eastAsia" w:ascii="宋体" w:eastAsia="宋体"/>
          <w:sz w:val="32"/>
          <w:szCs w:val="32"/>
        </w:rPr>
        <w:t>万元，</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101.37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宋体" w:eastAsia="宋体"/>
          <w:sz w:val="32"/>
          <w:szCs w:val="32"/>
        </w:rPr>
        <w:t>决算数大于年初预算数的主要原因是：</w:t>
      </w:r>
      <w:r>
        <w:rPr>
          <w:rFonts w:hint="eastAsia" w:ascii="宋体" w:eastAsia="宋体"/>
          <w:sz w:val="32"/>
          <w:szCs w:val="32"/>
          <w:lang w:eastAsia="zh-CN"/>
        </w:rPr>
        <w:t>财政统一安排</w:t>
      </w:r>
      <w:r>
        <w:rPr>
          <w:rFonts w:hint="eastAsia" w:ascii="宋体" w:eastAsia="宋体"/>
          <w:sz w:val="32"/>
          <w:szCs w:val="32"/>
        </w:rPr>
        <w:t>在职行政人员公务交通补助等</w:t>
      </w:r>
      <w:r>
        <w:rPr>
          <w:rFonts w:hint="eastAsia" w:ascii="宋体" w:eastAsia="宋体"/>
          <w:color w:val="auto"/>
          <w:sz w:val="32"/>
          <w:szCs w:val="32"/>
        </w:rPr>
        <w:t>经费拨款</w:t>
      </w:r>
      <w:r>
        <w:rPr>
          <w:rFonts w:hint="eastAsia" w:ascii="宋体" w:eastAsia="宋体"/>
          <w:color w:val="auto"/>
          <w:sz w:val="32"/>
          <w:szCs w:val="32"/>
          <w:lang w:eastAsia="zh-CN"/>
        </w:rPr>
        <w:t>。</w:t>
      </w:r>
    </w:p>
    <w:p>
      <w:pPr>
        <w:pStyle w:val="9"/>
        <w:ind w:firstLine="800" w:firstLineChars="250"/>
        <w:rPr>
          <w:rFonts w:hint="eastAsia" w:ascii="宋体" w:eastAsia="宋体"/>
          <w:sz w:val="32"/>
          <w:szCs w:val="32"/>
        </w:rPr>
      </w:pPr>
      <w:r>
        <w:rPr>
          <w:rFonts w:hint="eastAsia" w:ascii="宋体" w:eastAsia="宋体"/>
          <w:sz w:val="32"/>
          <w:szCs w:val="32"/>
        </w:rPr>
        <w:t xml:space="preserve"> 2、一般公共服务（类）</w:t>
      </w:r>
      <w:r>
        <w:rPr>
          <w:rFonts w:hint="eastAsia" w:ascii="宋体" w:eastAsia="宋体"/>
          <w:sz w:val="32"/>
          <w:szCs w:val="32"/>
          <w:lang w:eastAsia="zh-CN"/>
        </w:rPr>
        <w:t>发展与改革</w:t>
      </w:r>
      <w:r>
        <w:rPr>
          <w:rFonts w:hint="eastAsia" w:ascii="宋体" w:eastAsia="宋体"/>
          <w:sz w:val="32"/>
          <w:szCs w:val="32"/>
        </w:rPr>
        <w:t>事务（款）</w:t>
      </w:r>
      <w:r>
        <w:rPr>
          <w:rFonts w:hint="eastAsia" w:ascii="宋体" w:eastAsia="宋体"/>
          <w:sz w:val="32"/>
          <w:szCs w:val="32"/>
          <w:lang w:eastAsia="zh-CN"/>
        </w:rPr>
        <w:t>一般行政管理事务</w:t>
      </w:r>
      <w:r>
        <w:rPr>
          <w:rFonts w:hint="eastAsia" w:ascii="宋体" w:eastAsia="宋体"/>
          <w:sz w:val="32"/>
          <w:szCs w:val="32"/>
        </w:rPr>
        <w:t>（项）。</w:t>
      </w:r>
    </w:p>
    <w:p>
      <w:pPr>
        <w:pStyle w:val="9"/>
        <w:ind w:firstLine="800" w:firstLineChars="250"/>
        <w:rPr>
          <w:rFonts w:hint="eastAsia" w:ascii="宋体" w:eastAsia="宋体"/>
          <w:color w:val="auto"/>
          <w:sz w:val="32"/>
          <w:szCs w:val="32"/>
        </w:rPr>
      </w:pPr>
      <w:r>
        <w:rPr>
          <w:rFonts w:hint="eastAsia" w:ascii="宋体" w:eastAsia="宋体"/>
          <w:sz w:val="32"/>
          <w:szCs w:val="32"/>
        </w:rPr>
        <w:t>年初预算为</w:t>
      </w:r>
      <w:r>
        <w:rPr>
          <w:rFonts w:hint="eastAsia" w:ascii="宋体" w:eastAsia="宋体"/>
          <w:sz w:val="32"/>
          <w:szCs w:val="32"/>
          <w:lang w:val="en-US" w:eastAsia="zh-CN"/>
        </w:rPr>
        <w:t>25.38</w:t>
      </w:r>
      <w:r>
        <w:rPr>
          <w:rFonts w:hint="eastAsia" w:ascii="宋体" w:eastAsia="宋体"/>
          <w:sz w:val="32"/>
          <w:szCs w:val="32"/>
        </w:rPr>
        <w:t>万元，支出决算为</w:t>
      </w:r>
      <w:r>
        <w:rPr>
          <w:rFonts w:hint="eastAsia" w:ascii="宋体" w:eastAsia="宋体"/>
          <w:sz w:val="32"/>
          <w:szCs w:val="32"/>
          <w:lang w:val="en-US" w:eastAsia="zh-CN"/>
        </w:rPr>
        <w:t>21.38</w:t>
      </w:r>
      <w:r>
        <w:rPr>
          <w:rFonts w:hint="eastAsia" w:ascii="宋体" w:eastAsia="宋体"/>
          <w:sz w:val="32"/>
          <w:szCs w:val="32"/>
        </w:rPr>
        <w:t>万元，</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84.24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宋体" w:eastAsia="宋体"/>
          <w:sz w:val="32"/>
          <w:szCs w:val="32"/>
        </w:rPr>
        <w:t>决算数</w:t>
      </w:r>
      <w:r>
        <w:rPr>
          <w:rFonts w:hint="eastAsia" w:ascii="宋体" w:eastAsia="宋体"/>
          <w:sz w:val="32"/>
          <w:szCs w:val="32"/>
          <w:lang w:eastAsia="zh-CN"/>
        </w:rPr>
        <w:t>小</w:t>
      </w:r>
      <w:r>
        <w:rPr>
          <w:rFonts w:hint="eastAsia" w:ascii="宋体" w:eastAsia="宋体"/>
          <w:sz w:val="32"/>
          <w:szCs w:val="32"/>
        </w:rPr>
        <w:t>于年初预算数的主要原因是：</w:t>
      </w:r>
      <w:r>
        <w:rPr>
          <w:rFonts w:hint="eastAsia" w:ascii="宋体" w:eastAsia="宋体"/>
          <w:sz w:val="32"/>
          <w:szCs w:val="32"/>
          <w:lang w:eastAsia="zh-CN"/>
        </w:rPr>
        <w:t>财政</w:t>
      </w:r>
      <w:r>
        <w:rPr>
          <w:rFonts w:hint="eastAsia" w:ascii="宋体" w:eastAsia="宋体"/>
          <w:color w:val="auto"/>
          <w:sz w:val="32"/>
          <w:szCs w:val="32"/>
          <w:lang w:eastAsia="zh-CN"/>
        </w:rPr>
        <w:t>扣减部分原价监局专项经费拨款</w:t>
      </w:r>
      <w:r>
        <w:rPr>
          <w:rFonts w:hint="eastAsia" w:ascii="宋体" w:eastAsia="宋体"/>
          <w:color w:val="auto"/>
          <w:sz w:val="32"/>
          <w:szCs w:val="32"/>
        </w:rPr>
        <w:t>。</w:t>
      </w:r>
    </w:p>
    <w:p>
      <w:pPr>
        <w:pStyle w:val="9"/>
        <w:ind w:firstLine="800" w:firstLineChars="250"/>
        <w:rPr>
          <w:rFonts w:hint="eastAsia" w:ascii="宋体" w:eastAsia="宋体"/>
          <w:sz w:val="32"/>
          <w:szCs w:val="32"/>
        </w:rPr>
      </w:pPr>
      <w:r>
        <w:rPr>
          <w:rFonts w:hint="eastAsia" w:ascii="宋体" w:eastAsia="宋体"/>
          <w:sz w:val="32"/>
          <w:szCs w:val="32"/>
          <w:lang w:val="en-US" w:eastAsia="zh-CN"/>
        </w:rPr>
        <w:t>3、</w:t>
      </w:r>
      <w:r>
        <w:rPr>
          <w:rFonts w:hint="eastAsia" w:ascii="宋体" w:eastAsia="宋体"/>
          <w:sz w:val="32"/>
          <w:szCs w:val="32"/>
        </w:rPr>
        <w:t>一般公共服务（类）</w:t>
      </w:r>
      <w:r>
        <w:rPr>
          <w:rFonts w:hint="eastAsia" w:ascii="宋体" w:eastAsia="宋体"/>
          <w:sz w:val="32"/>
          <w:szCs w:val="32"/>
          <w:lang w:eastAsia="zh-CN"/>
        </w:rPr>
        <w:t>发展与改革</w:t>
      </w:r>
      <w:r>
        <w:rPr>
          <w:rFonts w:hint="eastAsia" w:ascii="宋体" w:eastAsia="宋体"/>
          <w:sz w:val="32"/>
          <w:szCs w:val="32"/>
        </w:rPr>
        <w:t>事务（款）</w:t>
      </w:r>
      <w:r>
        <w:rPr>
          <w:rFonts w:hint="eastAsia" w:ascii="宋体" w:eastAsia="宋体"/>
          <w:sz w:val="32"/>
          <w:szCs w:val="32"/>
          <w:lang w:eastAsia="zh-CN"/>
        </w:rPr>
        <w:t>物价管理</w:t>
      </w:r>
      <w:r>
        <w:rPr>
          <w:rFonts w:hint="eastAsia" w:ascii="宋体" w:eastAsia="宋体"/>
          <w:sz w:val="32"/>
          <w:szCs w:val="32"/>
        </w:rPr>
        <w:t>（项）。</w:t>
      </w:r>
    </w:p>
    <w:p>
      <w:pPr>
        <w:pStyle w:val="9"/>
        <w:ind w:firstLine="800" w:firstLineChars="250"/>
        <w:rPr>
          <w:rFonts w:hint="eastAsia" w:ascii="宋体" w:eastAsia="宋体"/>
          <w:color w:val="auto"/>
          <w:sz w:val="32"/>
          <w:szCs w:val="32"/>
        </w:rPr>
      </w:pPr>
      <w:r>
        <w:rPr>
          <w:rFonts w:hint="eastAsia" w:ascii="宋体" w:eastAsia="宋体"/>
          <w:sz w:val="32"/>
          <w:szCs w:val="32"/>
        </w:rPr>
        <w:t>年初预算为</w:t>
      </w:r>
      <w:r>
        <w:rPr>
          <w:rFonts w:hint="eastAsia" w:ascii="宋体" w:eastAsia="宋体"/>
          <w:sz w:val="32"/>
          <w:szCs w:val="32"/>
          <w:lang w:val="en-US" w:eastAsia="zh-CN"/>
        </w:rPr>
        <w:t>0</w:t>
      </w:r>
      <w:r>
        <w:rPr>
          <w:rFonts w:hint="eastAsia" w:ascii="宋体" w:eastAsia="宋体"/>
          <w:sz w:val="32"/>
          <w:szCs w:val="32"/>
        </w:rPr>
        <w:t>万元，支出决算为</w:t>
      </w:r>
      <w:r>
        <w:rPr>
          <w:rFonts w:hint="eastAsia" w:ascii="宋体" w:eastAsia="宋体"/>
          <w:sz w:val="32"/>
          <w:szCs w:val="32"/>
          <w:lang w:val="en-US" w:eastAsia="zh-CN"/>
        </w:rPr>
        <w:t>31.60</w:t>
      </w:r>
      <w:r>
        <w:rPr>
          <w:rFonts w:hint="eastAsia" w:ascii="宋体" w:eastAsia="宋体"/>
          <w:sz w:val="32"/>
          <w:szCs w:val="32"/>
        </w:rPr>
        <w:t>万元，决算数大于年初预算数的主要原因是：</w:t>
      </w:r>
      <w:r>
        <w:rPr>
          <w:rFonts w:hint="eastAsia" w:ascii="宋体" w:eastAsia="宋体"/>
          <w:color w:val="auto"/>
          <w:sz w:val="32"/>
          <w:szCs w:val="32"/>
        </w:rPr>
        <w:t>财政追加</w:t>
      </w:r>
      <w:r>
        <w:rPr>
          <w:rFonts w:hint="eastAsia" w:ascii="宋体" w:eastAsia="宋体"/>
          <w:color w:val="auto"/>
          <w:sz w:val="32"/>
          <w:szCs w:val="32"/>
          <w:lang w:eastAsia="zh-CN"/>
        </w:rPr>
        <w:t>各项政策性奖励金</w:t>
      </w:r>
      <w:r>
        <w:rPr>
          <w:rFonts w:hint="eastAsia" w:ascii="宋体" w:eastAsia="宋体"/>
          <w:color w:val="auto"/>
          <w:sz w:val="32"/>
          <w:szCs w:val="32"/>
        </w:rPr>
        <w:t>经费拨款。</w:t>
      </w:r>
    </w:p>
    <w:p>
      <w:pPr>
        <w:pStyle w:val="9"/>
        <w:ind w:firstLine="800" w:firstLineChars="250"/>
        <w:rPr>
          <w:rFonts w:hint="eastAsia" w:ascii="宋体" w:eastAsia="宋体"/>
          <w:sz w:val="32"/>
          <w:szCs w:val="32"/>
        </w:rPr>
      </w:pPr>
      <w:r>
        <w:rPr>
          <w:rFonts w:hint="eastAsia" w:ascii="宋体" w:eastAsia="宋体"/>
          <w:sz w:val="32"/>
          <w:szCs w:val="32"/>
          <w:lang w:val="en-US" w:eastAsia="zh-CN"/>
        </w:rPr>
        <w:t>4、</w:t>
      </w:r>
      <w:r>
        <w:rPr>
          <w:rFonts w:hint="eastAsia" w:ascii="宋体" w:eastAsia="宋体"/>
          <w:sz w:val="32"/>
          <w:szCs w:val="32"/>
        </w:rPr>
        <w:t>一般公共服务（类）纪检监察事务（款）行政运行（项）。</w:t>
      </w:r>
    </w:p>
    <w:p>
      <w:pPr>
        <w:pStyle w:val="9"/>
        <w:ind w:firstLine="800" w:firstLineChars="250"/>
        <w:rPr>
          <w:rFonts w:hint="eastAsia" w:ascii="宋体" w:eastAsia="宋体"/>
          <w:sz w:val="32"/>
          <w:szCs w:val="32"/>
        </w:rPr>
      </w:pPr>
      <w:r>
        <w:rPr>
          <w:rFonts w:hint="eastAsia" w:ascii="宋体" w:eastAsia="宋体"/>
          <w:sz w:val="32"/>
          <w:szCs w:val="32"/>
        </w:rPr>
        <w:t>年初预算为0万元，支出决算为1</w:t>
      </w:r>
      <w:r>
        <w:rPr>
          <w:rFonts w:hint="eastAsia" w:ascii="宋体" w:eastAsia="宋体"/>
          <w:sz w:val="32"/>
          <w:szCs w:val="32"/>
          <w:lang w:val="en-US" w:eastAsia="zh-CN"/>
        </w:rPr>
        <w:t>4.62</w:t>
      </w:r>
      <w:r>
        <w:rPr>
          <w:rFonts w:hint="eastAsia" w:ascii="宋体" w:eastAsia="宋体"/>
          <w:sz w:val="32"/>
          <w:szCs w:val="32"/>
        </w:rPr>
        <w:t>万元，决算数大于年初预算数的主要原因是：财政追加州纪委、州监察委派驻组纪检监察人员经费拨款</w:t>
      </w:r>
      <w:r>
        <w:rPr>
          <w:rFonts w:hint="eastAsia" w:ascii="宋体" w:eastAsia="宋体"/>
          <w:color w:val="FF0000"/>
          <w:sz w:val="32"/>
          <w:szCs w:val="32"/>
        </w:rPr>
        <w:t>。</w:t>
      </w:r>
    </w:p>
    <w:p>
      <w:pPr>
        <w:pStyle w:val="9"/>
        <w:ind w:firstLine="800" w:firstLineChars="250"/>
        <w:rPr>
          <w:rFonts w:hint="eastAsia" w:ascii="宋体" w:eastAsia="宋体"/>
          <w:sz w:val="32"/>
          <w:szCs w:val="32"/>
        </w:rPr>
      </w:pPr>
      <w:r>
        <w:rPr>
          <w:rFonts w:hint="eastAsia" w:ascii="宋体" w:eastAsia="宋体"/>
          <w:sz w:val="32"/>
          <w:szCs w:val="32"/>
          <w:lang w:val="en-US" w:eastAsia="zh-CN"/>
        </w:rPr>
        <w:t>5</w:t>
      </w:r>
      <w:r>
        <w:rPr>
          <w:rFonts w:hint="eastAsia" w:ascii="宋体" w:eastAsia="宋体"/>
          <w:sz w:val="32"/>
          <w:szCs w:val="32"/>
        </w:rPr>
        <w:t>、一般公共服务（类）</w:t>
      </w:r>
      <w:r>
        <w:rPr>
          <w:rFonts w:hint="eastAsia" w:ascii="宋体" w:eastAsia="宋体"/>
          <w:sz w:val="32"/>
          <w:szCs w:val="32"/>
          <w:lang w:eastAsia="zh-CN"/>
        </w:rPr>
        <w:t>商贸事务</w:t>
      </w:r>
      <w:r>
        <w:rPr>
          <w:rFonts w:hint="eastAsia" w:ascii="宋体" w:eastAsia="宋体"/>
          <w:sz w:val="32"/>
          <w:szCs w:val="32"/>
        </w:rPr>
        <w:t>（款）</w:t>
      </w:r>
      <w:r>
        <w:rPr>
          <w:rFonts w:hint="eastAsia" w:ascii="宋体" w:eastAsia="宋体"/>
          <w:sz w:val="32"/>
          <w:szCs w:val="32"/>
          <w:lang w:eastAsia="zh-CN"/>
        </w:rPr>
        <w:t>事业运行</w:t>
      </w:r>
      <w:r>
        <w:rPr>
          <w:rFonts w:hint="eastAsia" w:ascii="宋体" w:eastAsia="宋体"/>
          <w:sz w:val="32"/>
          <w:szCs w:val="32"/>
        </w:rPr>
        <w:t>（项）。</w:t>
      </w:r>
    </w:p>
    <w:p>
      <w:pPr>
        <w:pStyle w:val="9"/>
        <w:ind w:firstLine="800" w:firstLineChars="250"/>
        <w:rPr>
          <w:rFonts w:hint="eastAsia" w:ascii="宋体" w:eastAsia="宋体"/>
          <w:color w:val="auto"/>
          <w:sz w:val="32"/>
          <w:szCs w:val="32"/>
          <w:lang w:eastAsia="zh-CN"/>
        </w:rPr>
      </w:pPr>
      <w:r>
        <w:rPr>
          <w:rFonts w:hint="eastAsia" w:ascii="宋体" w:eastAsia="宋体"/>
          <w:sz w:val="32"/>
          <w:szCs w:val="32"/>
        </w:rPr>
        <w:t>年初预算为</w:t>
      </w:r>
      <w:r>
        <w:rPr>
          <w:rFonts w:hint="eastAsia" w:ascii="宋体" w:eastAsia="宋体"/>
          <w:sz w:val="32"/>
          <w:szCs w:val="32"/>
          <w:lang w:val="en-US" w:eastAsia="zh-CN"/>
        </w:rPr>
        <w:t>82.04</w:t>
      </w:r>
      <w:r>
        <w:rPr>
          <w:rFonts w:hint="eastAsia" w:ascii="宋体" w:eastAsia="宋体"/>
          <w:sz w:val="32"/>
          <w:szCs w:val="32"/>
        </w:rPr>
        <w:t>万元，支出决算为</w:t>
      </w:r>
      <w:r>
        <w:rPr>
          <w:rFonts w:hint="eastAsia" w:ascii="宋体" w:eastAsia="宋体"/>
          <w:sz w:val="32"/>
          <w:szCs w:val="32"/>
          <w:lang w:val="en-US" w:eastAsia="zh-CN"/>
        </w:rPr>
        <w:t>103.11</w:t>
      </w:r>
      <w:r>
        <w:rPr>
          <w:rFonts w:hint="eastAsia" w:ascii="宋体" w:eastAsia="宋体"/>
          <w:sz w:val="32"/>
          <w:szCs w:val="32"/>
        </w:rPr>
        <w:t>万元，</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125.68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宋体" w:eastAsia="宋体"/>
          <w:sz w:val="32"/>
          <w:szCs w:val="32"/>
        </w:rPr>
        <w:t>决算数大于年初预算数的主要原因是：财政追加政策性奖励金等</w:t>
      </w:r>
      <w:r>
        <w:rPr>
          <w:rFonts w:hint="eastAsia" w:ascii="宋体" w:eastAsia="宋体"/>
          <w:color w:val="auto"/>
          <w:sz w:val="32"/>
          <w:szCs w:val="32"/>
        </w:rPr>
        <w:t>经费拨款</w:t>
      </w:r>
      <w:r>
        <w:rPr>
          <w:rFonts w:hint="eastAsia" w:ascii="宋体" w:eastAsia="宋体"/>
          <w:color w:val="auto"/>
          <w:sz w:val="32"/>
          <w:szCs w:val="32"/>
          <w:lang w:eastAsia="zh-CN"/>
        </w:rPr>
        <w:t>。</w:t>
      </w:r>
    </w:p>
    <w:p>
      <w:pPr>
        <w:pStyle w:val="9"/>
        <w:ind w:firstLine="800" w:firstLineChars="250"/>
        <w:rPr>
          <w:rFonts w:hint="eastAsia" w:ascii="宋体" w:eastAsia="宋体"/>
          <w:sz w:val="32"/>
          <w:szCs w:val="32"/>
        </w:rPr>
      </w:pPr>
      <w:r>
        <w:rPr>
          <w:rFonts w:hint="eastAsia" w:ascii="宋体" w:eastAsia="宋体"/>
          <w:sz w:val="32"/>
          <w:szCs w:val="32"/>
          <w:lang w:val="en-US" w:eastAsia="zh-CN"/>
        </w:rPr>
        <w:t>6、</w:t>
      </w:r>
      <w:r>
        <w:rPr>
          <w:rFonts w:hint="eastAsia" w:ascii="宋体" w:eastAsia="宋体"/>
          <w:sz w:val="32"/>
          <w:szCs w:val="32"/>
        </w:rPr>
        <w:t>一般公共服务（类）知识产权事务（款）国家知识产权战略（项）。</w:t>
      </w:r>
    </w:p>
    <w:p>
      <w:pPr>
        <w:pStyle w:val="9"/>
        <w:ind w:firstLine="800" w:firstLineChars="250"/>
        <w:rPr>
          <w:rFonts w:hint="eastAsia" w:ascii="宋体" w:eastAsia="宋体"/>
          <w:color w:val="FF0000"/>
          <w:sz w:val="32"/>
          <w:szCs w:val="32"/>
        </w:rPr>
      </w:pPr>
      <w:r>
        <w:rPr>
          <w:rFonts w:hint="eastAsia" w:ascii="宋体" w:eastAsia="宋体"/>
          <w:sz w:val="32"/>
          <w:szCs w:val="32"/>
        </w:rPr>
        <w:t>年初预算为0万元，支出决算为</w:t>
      </w:r>
      <w:r>
        <w:rPr>
          <w:rFonts w:hint="eastAsia" w:ascii="宋体" w:eastAsia="宋体"/>
          <w:sz w:val="32"/>
          <w:szCs w:val="32"/>
          <w:lang w:val="en-US" w:eastAsia="zh-CN"/>
        </w:rPr>
        <w:t>0.20</w:t>
      </w:r>
      <w:r>
        <w:rPr>
          <w:rFonts w:hint="eastAsia" w:ascii="宋体" w:eastAsia="宋体"/>
          <w:sz w:val="32"/>
          <w:szCs w:val="32"/>
        </w:rPr>
        <w:t>万元，决算数大于年初预算数的主要原因是：</w:t>
      </w:r>
      <w:r>
        <w:rPr>
          <w:rFonts w:hint="eastAsia" w:ascii="宋体" w:eastAsia="宋体"/>
          <w:sz w:val="32"/>
          <w:szCs w:val="32"/>
          <w:lang w:eastAsia="zh-CN"/>
        </w:rPr>
        <w:t>支付上年未付成功的专利资助奖励款</w:t>
      </w:r>
      <w:r>
        <w:rPr>
          <w:rFonts w:hint="eastAsia" w:ascii="宋体" w:eastAsia="宋体"/>
          <w:color w:val="auto"/>
          <w:sz w:val="32"/>
          <w:szCs w:val="32"/>
        </w:rPr>
        <w:t>。</w:t>
      </w:r>
    </w:p>
    <w:p>
      <w:pPr>
        <w:pStyle w:val="9"/>
        <w:ind w:firstLine="800" w:firstLineChars="250"/>
        <w:rPr>
          <w:rFonts w:hint="eastAsia" w:ascii="宋体" w:eastAsia="宋体"/>
          <w:sz w:val="32"/>
          <w:szCs w:val="32"/>
        </w:rPr>
      </w:pPr>
      <w:r>
        <w:rPr>
          <w:rFonts w:hint="eastAsia"/>
          <w:bCs/>
          <w:sz w:val="32"/>
          <w:szCs w:val="32"/>
          <w:lang w:val="en-US" w:eastAsia="zh-CN"/>
        </w:rPr>
        <w:t>7</w:t>
      </w:r>
      <w:r>
        <w:rPr>
          <w:rFonts w:hint="eastAsia"/>
          <w:bCs/>
          <w:sz w:val="32"/>
          <w:szCs w:val="32"/>
        </w:rPr>
        <w:t>、</w:t>
      </w:r>
      <w:r>
        <w:rPr>
          <w:rFonts w:hint="eastAsia" w:ascii="宋体" w:eastAsia="宋体"/>
          <w:sz w:val="32"/>
          <w:szCs w:val="32"/>
        </w:rPr>
        <w:t>一般公共服务（类）市场监督管理事务（款）行政运行（项）。</w:t>
      </w:r>
    </w:p>
    <w:p>
      <w:pPr>
        <w:pStyle w:val="9"/>
        <w:ind w:firstLine="800" w:firstLineChars="250"/>
        <w:rPr>
          <w:rFonts w:hint="eastAsia" w:ascii="宋体" w:eastAsia="宋体"/>
          <w:sz w:val="32"/>
          <w:szCs w:val="32"/>
        </w:rPr>
      </w:pPr>
      <w:r>
        <w:rPr>
          <w:rFonts w:hint="eastAsia" w:ascii="宋体" w:eastAsia="宋体"/>
          <w:sz w:val="32"/>
          <w:szCs w:val="32"/>
        </w:rPr>
        <w:t>年初预算为</w:t>
      </w:r>
      <w:r>
        <w:rPr>
          <w:rFonts w:hint="eastAsia" w:ascii="宋体" w:eastAsia="宋体"/>
          <w:sz w:val="32"/>
          <w:szCs w:val="32"/>
          <w:lang w:val="en-US" w:eastAsia="zh-CN"/>
        </w:rPr>
        <w:t>2290.14</w:t>
      </w:r>
      <w:r>
        <w:rPr>
          <w:rFonts w:hint="eastAsia" w:ascii="宋体" w:eastAsia="宋体"/>
          <w:sz w:val="32"/>
          <w:szCs w:val="32"/>
        </w:rPr>
        <w:t>万元，支出决算为</w:t>
      </w:r>
      <w:r>
        <w:rPr>
          <w:rFonts w:hint="eastAsia" w:ascii="宋体" w:eastAsia="宋体"/>
          <w:sz w:val="32"/>
          <w:szCs w:val="32"/>
          <w:lang w:val="en-US" w:eastAsia="zh-CN"/>
        </w:rPr>
        <w:t>3028.08</w:t>
      </w:r>
      <w:r>
        <w:rPr>
          <w:rFonts w:hint="eastAsia" w:ascii="宋体" w:eastAsia="宋体"/>
          <w:sz w:val="32"/>
          <w:szCs w:val="32"/>
        </w:rPr>
        <w:t>万元，</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132.22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宋体" w:eastAsia="宋体"/>
          <w:sz w:val="32"/>
          <w:szCs w:val="32"/>
        </w:rPr>
        <w:t>决算数大于年初预算数的主要原因是：财政追加政策性奖励金、在职行政人员公务交通补助等</w:t>
      </w:r>
      <w:r>
        <w:rPr>
          <w:rFonts w:hint="eastAsia" w:ascii="宋体" w:eastAsia="宋体"/>
          <w:color w:val="auto"/>
          <w:sz w:val="32"/>
          <w:szCs w:val="32"/>
        </w:rPr>
        <w:t>经费拨款</w:t>
      </w:r>
      <w:r>
        <w:rPr>
          <w:rFonts w:hint="eastAsia" w:ascii="宋体" w:eastAsia="宋体"/>
          <w:sz w:val="32"/>
          <w:szCs w:val="32"/>
        </w:rPr>
        <w:t>。</w:t>
      </w:r>
    </w:p>
    <w:p>
      <w:pPr>
        <w:pStyle w:val="9"/>
        <w:ind w:firstLine="800" w:firstLineChars="250"/>
        <w:rPr>
          <w:rFonts w:hint="eastAsia" w:ascii="宋体" w:eastAsia="宋体"/>
          <w:sz w:val="32"/>
          <w:szCs w:val="32"/>
        </w:rPr>
      </w:pPr>
      <w:r>
        <w:rPr>
          <w:rFonts w:hint="eastAsia"/>
          <w:bCs/>
          <w:sz w:val="32"/>
          <w:szCs w:val="32"/>
          <w:lang w:val="en-US" w:eastAsia="zh-CN"/>
        </w:rPr>
        <w:t>8</w:t>
      </w:r>
      <w:r>
        <w:rPr>
          <w:rFonts w:hint="eastAsia"/>
          <w:bCs/>
          <w:sz w:val="32"/>
          <w:szCs w:val="32"/>
        </w:rPr>
        <w:t>、</w:t>
      </w:r>
      <w:r>
        <w:rPr>
          <w:rFonts w:hint="eastAsia" w:ascii="宋体" w:eastAsia="宋体"/>
          <w:sz w:val="32"/>
          <w:szCs w:val="32"/>
        </w:rPr>
        <w:t>一般公共服务（类）市场监督管理事务（款）一般行政管理事务（项）。</w:t>
      </w:r>
    </w:p>
    <w:p>
      <w:pPr>
        <w:pStyle w:val="9"/>
        <w:ind w:firstLine="800" w:firstLineChars="250"/>
        <w:rPr>
          <w:rFonts w:hint="eastAsia" w:ascii="宋体" w:eastAsia="宋体"/>
          <w:sz w:val="32"/>
          <w:szCs w:val="32"/>
        </w:rPr>
      </w:pPr>
      <w:r>
        <w:rPr>
          <w:rFonts w:hint="eastAsia" w:ascii="宋体" w:eastAsia="宋体"/>
          <w:sz w:val="32"/>
          <w:szCs w:val="32"/>
        </w:rPr>
        <w:t>年初预算为</w:t>
      </w:r>
      <w:r>
        <w:rPr>
          <w:rFonts w:hint="eastAsia" w:ascii="宋体" w:eastAsia="宋体"/>
          <w:sz w:val="32"/>
          <w:szCs w:val="32"/>
          <w:lang w:val="en-US" w:eastAsia="zh-CN"/>
        </w:rPr>
        <w:t>18</w:t>
      </w:r>
      <w:r>
        <w:rPr>
          <w:rFonts w:hint="eastAsia" w:ascii="宋体" w:eastAsia="宋体"/>
          <w:sz w:val="32"/>
          <w:szCs w:val="32"/>
        </w:rPr>
        <w:t>万元，支出决算为6</w:t>
      </w:r>
      <w:r>
        <w:rPr>
          <w:rFonts w:hint="eastAsia" w:ascii="宋体" w:eastAsia="宋体"/>
          <w:sz w:val="32"/>
          <w:szCs w:val="32"/>
          <w:lang w:val="en-US" w:eastAsia="zh-CN"/>
        </w:rPr>
        <w:t>0.71</w:t>
      </w:r>
      <w:r>
        <w:rPr>
          <w:rFonts w:hint="eastAsia" w:ascii="宋体" w:eastAsia="宋体"/>
          <w:sz w:val="32"/>
          <w:szCs w:val="32"/>
        </w:rPr>
        <w:t>万元，</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337.28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宋体" w:eastAsia="宋体"/>
          <w:sz w:val="32"/>
          <w:szCs w:val="32"/>
        </w:rPr>
        <w:t>决算数</w:t>
      </w:r>
      <w:r>
        <w:rPr>
          <w:rFonts w:hint="eastAsia" w:ascii="宋体" w:eastAsia="宋体"/>
          <w:sz w:val="32"/>
          <w:szCs w:val="32"/>
          <w:lang w:eastAsia="zh-CN"/>
        </w:rPr>
        <w:t>大</w:t>
      </w:r>
      <w:r>
        <w:rPr>
          <w:rFonts w:hint="eastAsia" w:ascii="宋体" w:eastAsia="宋体"/>
          <w:sz w:val="32"/>
          <w:szCs w:val="32"/>
        </w:rPr>
        <w:t>于年初预算数的主要原因是：</w:t>
      </w:r>
      <w:r>
        <w:rPr>
          <w:rFonts w:hint="eastAsia" w:ascii="宋体" w:eastAsia="宋体"/>
          <w:sz w:val="32"/>
          <w:szCs w:val="32"/>
          <w:lang w:eastAsia="zh-CN"/>
        </w:rPr>
        <w:t>上年结转结余资金购买电梯</w:t>
      </w:r>
      <w:r>
        <w:rPr>
          <w:rFonts w:hint="eastAsia" w:ascii="宋体" w:eastAsia="宋体"/>
          <w:sz w:val="32"/>
          <w:szCs w:val="32"/>
          <w:lang w:val="en-US" w:eastAsia="zh-CN"/>
        </w:rPr>
        <w:t>2台等</w:t>
      </w:r>
      <w:r>
        <w:rPr>
          <w:rFonts w:hint="eastAsia" w:ascii="宋体" w:eastAsia="宋体"/>
          <w:sz w:val="32"/>
          <w:szCs w:val="32"/>
        </w:rPr>
        <w:t>。</w:t>
      </w:r>
    </w:p>
    <w:p>
      <w:pPr>
        <w:pStyle w:val="9"/>
        <w:ind w:firstLine="800" w:firstLineChars="250"/>
        <w:rPr>
          <w:rFonts w:hint="eastAsia" w:ascii="宋体" w:eastAsia="宋体"/>
          <w:sz w:val="32"/>
          <w:szCs w:val="32"/>
        </w:rPr>
      </w:pPr>
      <w:r>
        <w:rPr>
          <w:rFonts w:hint="eastAsia" w:ascii="宋体" w:eastAsia="宋体"/>
          <w:sz w:val="32"/>
          <w:szCs w:val="32"/>
          <w:lang w:val="en-US" w:eastAsia="zh-CN"/>
        </w:rPr>
        <w:t>9</w:t>
      </w:r>
      <w:r>
        <w:rPr>
          <w:rFonts w:hint="eastAsia" w:ascii="宋体" w:eastAsia="宋体"/>
          <w:sz w:val="32"/>
          <w:szCs w:val="32"/>
        </w:rPr>
        <w:t>、一般公共服务（类）市场监督管理事务（款）机关服务（项）。</w:t>
      </w:r>
    </w:p>
    <w:p>
      <w:pPr>
        <w:pStyle w:val="9"/>
        <w:ind w:firstLine="800" w:firstLineChars="250"/>
        <w:rPr>
          <w:rFonts w:hint="eastAsia" w:ascii="宋体" w:eastAsia="宋体"/>
          <w:sz w:val="32"/>
          <w:szCs w:val="32"/>
        </w:rPr>
      </w:pPr>
      <w:r>
        <w:rPr>
          <w:rFonts w:hint="eastAsia" w:ascii="宋体" w:eastAsia="宋体"/>
          <w:sz w:val="32"/>
          <w:szCs w:val="32"/>
        </w:rPr>
        <w:t>年初预算为0万元，支出决算为</w:t>
      </w:r>
      <w:r>
        <w:rPr>
          <w:rFonts w:hint="eastAsia" w:ascii="宋体" w:eastAsia="宋体"/>
          <w:sz w:val="32"/>
          <w:szCs w:val="32"/>
          <w:lang w:val="en-US" w:eastAsia="zh-CN"/>
        </w:rPr>
        <w:t>4.77</w:t>
      </w:r>
      <w:r>
        <w:rPr>
          <w:rFonts w:hint="eastAsia" w:ascii="宋体" w:eastAsia="宋体"/>
          <w:sz w:val="32"/>
          <w:szCs w:val="32"/>
        </w:rPr>
        <w:t>万元，决算数大于年初预算数的主要原因是：财政追加事业人员工资津补</w:t>
      </w:r>
      <w:r>
        <w:rPr>
          <w:rFonts w:hint="eastAsia" w:ascii="宋体" w:eastAsia="宋体"/>
          <w:color w:val="auto"/>
          <w:sz w:val="32"/>
          <w:szCs w:val="32"/>
        </w:rPr>
        <w:t>贴经费拨款。</w:t>
      </w:r>
    </w:p>
    <w:p>
      <w:pPr>
        <w:pStyle w:val="9"/>
        <w:ind w:firstLine="800" w:firstLineChars="250"/>
        <w:rPr>
          <w:rFonts w:hint="eastAsia" w:ascii="宋体" w:eastAsia="宋体"/>
          <w:sz w:val="32"/>
          <w:szCs w:val="32"/>
        </w:rPr>
      </w:pPr>
      <w:r>
        <w:rPr>
          <w:rFonts w:hint="eastAsia" w:ascii="宋体" w:eastAsia="宋体"/>
          <w:sz w:val="32"/>
          <w:szCs w:val="32"/>
          <w:lang w:val="en-US" w:eastAsia="zh-CN"/>
        </w:rPr>
        <w:t>10</w:t>
      </w:r>
      <w:r>
        <w:rPr>
          <w:rFonts w:hint="eastAsia" w:ascii="宋体" w:eastAsia="宋体"/>
          <w:sz w:val="32"/>
          <w:szCs w:val="32"/>
        </w:rPr>
        <w:t>、一般公共服务（类）市场监督管理事务（款）市场监督管理专项（项）。</w:t>
      </w:r>
    </w:p>
    <w:p>
      <w:pPr>
        <w:pStyle w:val="9"/>
        <w:ind w:firstLine="800" w:firstLineChars="250"/>
        <w:rPr>
          <w:rFonts w:hint="eastAsia" w:ascii="宋体" w:eastAsia="宋体"/>
          <w:sz w:val="32"/>
          <w:szCs w:val="32"/>
        </w:rPr>
      </w:pPr>
      <w:r>
        <w:rPr>
          <w:rFonts w:hint="eastAsia" w:ascii="宋体" w:eastAsia="宋体"/>
          <w:sz w:val="32"/>
          <w:szCs w:val="32"/>
        </w:rPr>
        <w:t>年初预算为</w:t>
      </w:r>
      <w:r>
        <w:rPr>
          <w:rFonts w:hint="eastAsia" w:ascii="宋体" w:eastAsia="宋体"/>
          <w:sz w:val="32"/>
          <w:szCs w:val="32"/>
          <w:lang w:val="en-US" w:eastAsia="zh-CN"/>
        </w:rPr>
        <w:t>182</w:t>
      </w:r>
      <w:r>
        <w:rPr>
          <w:rFonts w:hint="eastAsia" w:ascii="宋体" w:eastAsia="宋体"/>
          <w:sz w:val="32"/>
          <w:szCs w:val="32"/>
        </w:rPr>
        <w:t>万元，支出决算为2</w:t>
      </w:r>
      <w:r>
        <w:rPr>
          <w:rFonts w:hint="eastAsia" w:ascii="宋体" w:eastAsia="宋体"/>
          <w:sz w:val="32"/>
          <w:szCs w:val="32"/>
          <w:lang w:val="en-US" w:eastAsia="zh-CN"/>
        </w:rPr>
        <w:t>76.62</w:t>
      </w:r>
      <w:r>
        <w:rPr>
          <w:rFonts w:hint="eastAsia" w:ascii="宋体" w:eastAsia="宋体"/>
          <w:sz w:val="32"/>
          <w:szCs w:val="32"/>
        </w:rPr>
        <w:t>万元，</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151.99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宋体" w:eastAsia="宋体"/>
          <w:sz w:val="32"/>
          <w:szCs w:val="32"/>
        </w:rPr>
        <w:t>决算数大于年初预算数的主要原因是：省级专项资金追加。</w:t>
      </w:r>
    </w:p>
    <w:p>
      <w:pPr>
        <w:pStyle w:val="9"/>
        <w:ind w:firstLine="800" w:firstLineChars="250"/>
        <w:rPr>
          <w:rFonts w:hint="eastAsia" w:ascii="宋体" w:eastAsia="宋体"/>
          <w:sz w:val="32"/>
          <w:szCs w:val="32"/>
        </w:rPr>
      </w:pPr>
      <w:r>
        <w:rPr>
          <w:rFonts w:hint="eastAsia" w:ascii="宋体" w:eastAsia="宋体"/>
          <w:sz w:val="32"/>
          <w:szCs w:val="32"/>
          <w:lang w:val="en-US" w:eastAsia="zh-CN"/>
        </w:rPr>
        <w:t>11</w:t>
      </w:r>
      <w:r>
        <w:rPr>
          <w:rFonts w:hint="eastAsia" w:ascii="宋体" w:eastAsia="宋体"/>
          <w:sz w:val="32"/>
          <w:szCs w:val="32"/>
        </w:rPr>
        <w:t>、一般公共服务（类）市场监督管理事务（款）市场监管执法（项）。</w:t>
      </w:r>
    </w:p>
    <w:p>
      <w:pPr>
        <w:pStyle w:val="9"/>
        <w:ind w:firstLine="800" w:firstLineChars="250"/>
        <w:rPr>
          <w:rFonts w:hint="eastAsia" w:ascii="宋体" w:eastAsia="宋体"/>
          <w:sz w:val="32"/>
          <w:szCs w:val="32"/>
        </w:rPr>
      </w:pPr>
      <w:r>
        <w:rPr>
          <w:rFonts w:hint="eastAsia" w:ascii="宋体" w:eastAsia="宋体"/>
          <w:sz w:val="32"/>
          <w:szCs w:val="32"/>
        </w:rPr>
        <w:t>年初预算为</w:t>
      </w:r>
      <w:r>
        <w:rPr>
          <w:rFonts w:hint="eastAsia" w:ascii="宋体" w:eastAsia="宋体"/>
          <w:sz w:val="32"/>
          <w:szCs w:val="32"/>
          <w:lang w:val="en-US" w:eastAsia="zh-CN"/>
        </w:rPr>
        <w:t>146.19</w:t>
      </w:r>
      <w:r>
        <w:rPr>
          <w:rFonts w:hint="eastAsia" w:ascii="宋体" w:eastAsia="宋体"/>
          <w:sz w:val="32"/>
          <w:szCs w:val="32"/>
        </w:rPr>
        <w:t>万元，支出决算为1</w:t>
      </w:r>
      <w:r>
        <w:rPr>
          <w:rFonts w:hint="eastAsia" w:ascii="宋体" w:eastAsia="宋体"/>
          <w:sz w:val="32"/>
          <w:szCs w:val="32"/>
          <w:lang w:val="en-US" w:eastAsia="zh-CN"/>
        </w:rPr>
        <w:t>60.71</w:t>
      </w:r>
      <w:r>
        <w:rPr>
          <w:rFonts w:hint="eastAsia" w:ascii="宋体" w:eastAsia="宋体"/>
          <w:sz w:val="32"/>
          <w:szCs w:val="32"/>
        </w:rPr>
        <w:t>万元，</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109.93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宋体" w:eastAsia="宋体"/>
          <w:sz w:val="32"/>
          <w:szCs w:val="32"/>
        </w:rPr>
        <w:t>决算数大于年初预算数的主要原因是：省级专项资金追加。</w:t>
      </w:r>
    </w:p>
    <w:p>
      <w:pPr>
        <w:pStyle w:val="9"/>
        <w:ind w:firstLine="800" w:firstLineChars="250"/>
        <w:rPr>
          <w:rFonts w:hint="eastAsia" w:ascii="宋体" w:eastAsia="宋体"/>
          <w:sz w:val="32"/>
          <w:szCs w:val="32"/>
        </w:rPr>
      </w:pPr>
      <w:r>
        <w:rPr>
          <w:rFonts w:hint="eastAsia" w:ascii="宋体" w:eastAsia="宋体"/>
          <w:sz w:val="32"/>
          <w:szCs w:val="32"/>
          <w:lang w:val="en-US" w:eastAsia="zh-CN"/>
        </w:rPr>
        <w:t>12</w:t>
      </w:r>
      <w:r>
        <w:rPr>
          <w:rFonts w:hint="eastAsia" w:ascii="宋体" w:eastAsia="宋体"/>
          <w:sz w:val="32"/>
          <w:szCs w:val="32"/>
        </w:rPr>
        <w:t>、一般公共服务（类）市场监督管理事务（款）</w:t>
      </w:r>
      <w:r>
        <w:rPr>
          <w:rFonts w:hint="eastAsia" w:ascii="宋体" w:eastAsia="宋体"/>
          <w:sz w:val="32"/>
          <w:szCs w:val="32"/>
          <w:lang w:eastAsia="zh-CN"/>
        </w:rPr>
        <w:t>质量基础</w:t>
      </w:r>
      <w:r>
        <w:rPr>
          <w:rFonts w:hint="eastAsia" w:ascii="宋体" w:eastAsia="宋体"/>
          <w:sz w:val="32"/>
          <w:szCs w:val="32"/>
        </w:rPr>
        <w:t>（项）。</w:t>
      </w:r>
    </w:p>
    <w:p>
      <w:pPr>
        <w:pStyle w:val="9"/>
        <w:ind w:firstLine="800" w:firstLineChars="250"/>
        <w:rPr>
          <w:rFonts w:hint="eastAsia" w:ascii="宋体" w:eastAsia="宋体"/>
          <w:sz w:val="32"/>
          <w:szCs w:val="32"/>
        </w:rPr>
      </w:pPr>
      <w:r>
        <w:rPr>
          <w:rFonts w:hint="eastAsia" w:ascii="宋体" w:eastAsia="宋体"/>
          <w:sz w:val="32"/>
          <w:szCs w:val="32"/>
        </w:rPr>
        <w:t>年初预算为0万元，支出决算为</w:t>
      </w:r>
      <w:r>
        <w:rPr>
          <w:rFonts w:hint="eastAsia" w:ascii="宋体" w:eastAsia="宋体"/>
          <w:sz w:val="32"/>
          <w:szCs w:val="32"/>
          <w:lang w:val="en-US" w:eastAsia="zh-CN"/>
        </w:rPr>
        <w:t>6</w:t>
      </w:r>
      <w:r>
        <w:rPr>
          <w:rFonts w:hint="eastAsia" w:ascii="宋体" w:eastAsia="宋体"/>
          <w:sz w:val="32"/>
          <w:szCs w:val="32"/>
        </w:rPr>
        <w:t>万元，决算数大于年初预算数的主要原因是：</w:t>
      </w:r>
      <w:r>
        <w:rPr>
          <w:rFonts w:hint="eastAsia" w:ascii="宋体" w:eastAsia="宋体"/>
          <w:sz w:val="32"/>
          <w:szCs w:val="32"/>
          <w:lang w:eastAsia="zh-CN"/>
        </w:rPr>
        <w:t>财政</w:t>
      </w:r>
      <w:r>
        <w:rPr>
          <w:rFonts w:hint="eastAsia" w:ascii="宋体" w:eastAsia="宋体"/>
          <w:sz w:val="32"/>
          <w:szCs w:val="32"/>
        </w:rPr>
        <w:t>追加</w:t>
      </w:r>
      <w:r>
        <w:rPr>
          <w:rFonts w:hint="eastAsia" w:ascii="宋体" w:eastAsia="宋体"/>
          <w:sz w:val="32"/>
          <w:szCs w:val="32"/>
          <w:lang w:val="en-US" w:eastAsia="zh-CN"/>
        </w:rPr>
        <w:t>给</w:t>
      </w:r>
      <w:r>
        <w:rPr>
          <w:rFonts w:hint="eastAsia" w:ascii="宋体" w:eastAsia="宋体"/>
          <w:sz w:val="32"/>
          <w:szCs w:val="32"/>
          <w:lang w:eastAsia="zh-CN"/>
        </w:rPr>
        <w:t>原州质量技术监督信息管理所标准化</w:t>
      </w:r>
      <w:r>
        <w:rPr>
          <w:rFonts w:hint="eastAsia" w:ascii="宋体" w:eastAsia="宋体"/>
          <w:sz w:val="32"/>
          <w:szCs w:val="32"/>
        </w:rPr>
        <w:t>专项资金。</w:t>
      </w:r>
    </w:p>
    <w:p>
      <w:pPr>
        <w:pStyle w:val="9"/>
        <w:ind w:firstLine="800" w:firstLineChars="250"/>
        <w:rPr>
          <w:rFonts w:hint="eastAsia" w:ascii="宋体" w:eastAsia="宋体"/>
          <w:sz w:val="32"/>
          <w:szCs w:val="32"/>
        </w:rPr>
      </w:pPr>
      <w:r>
        <w:rPr>
          <w:rFonts w:hint="eastAsia" w:ascii="宋体" w:eastAsia="宋体"/>
          <w:sz w:val="32"/>
          <w:szCs w:val="32"/>
        </w:rPr>
        <w:t>1</w:t>
      </w:r>
      <w:r>
        <w:rPr>
          <w:rFonts w:hint="eastAsia" w:ascii="宋体" w:eastAsia="宋体"/>
          <w:sz w:val="32"/>
          <w:szCs w:val="32"/>
          <w:lang w:val="en-US" w:eastAsia="zh-CN"/>
        </w:rPr>
        <w:t>3</w:t>
      </w:r>
      <w:r>
        <w:rPr>
          <w:rFonts w:hint="eastAsia" w:ascii="宋体" w:eastAsia="宋体"/>
          <w:sz w:val="32"/>
          <w:szCs w:val="32"/>
        </w:rPr>
        <w:t>、一般公共服务（类）市场监督管理事务（款）药品事务（项）。</w:t>
      </w:r>
    </w:p>
    <w:p>
      <w:pPr>
        <w:pStyle w:val="9"/>
        <w:ind w:firstLine="800" w:firstLineChars="250"/>
        <w:rPr>
          <w:rFonts w:hint="eastAsia" w:ascii="宋体" w:eastAsia="宋体"/>
          <w:sz w:val="32"/>
          <w:szCs w:val="32"/>
        </w:rPr>
      </w:pPr>
      <w:r>
        <w:rPr>
          <w:rFonts w:hint="eastAsia" w:ascii="宋体" w:eastAsia="宋体"/>
          <w:sz w:val="32"/>
          <w:szCs w:val="32"/>
        </w:rPr>
        <w:t>年初预算为0万元，支出决算为</w:t>
      </w:r>
      <w:r>
        <w:rPr>
          <w:rFonts w:hint="eastAsia" w:ascii="宋体" w:eastAsia="宋体"/>
          <w:sz w:val="32"/>
          <w:szCs w:val="32"/>
          <w:lang w:val="en-US" w:eastAsia="zh-CN"/>
        </w:rPr>
        <w:t>5.85</w:t>
      </w:r>
      <w:r>
        <w:rPr>
          <w:rFonts w:hint="eastAsia" w:ascii="宋体" w:eastAsia="宋体"/>
          <w:sz w:val="32"/>
          <w:szCs w:val="32"/>
        </w:rPr>
        <w:t>万元，决算数大于年初预算数的主要原因是：省级专项资金追加。</w:t>
      </w:r>
    </w:p>
    <w:p>
      <w:pPr>
        <w:pStyle w:val="9"/>
        <w:ind w:firstLine="800" w:firstLineChars="250"/>
        <w:rPr>
          <w:rFonts w:hint="eastAsia" w:ascii="宋体" w:eastAsia="宋体"/>
          <w:sz w:val="32"/>
          <w:szCs w:val="32"/>
        </w:rPr>
      </w:pPr>
      <w:r>
        <w:rPr>
          <w:rFonts w:hint="eastAsia" w:ascii="宋体" w:eastAsia="宋体"/>
          <w:sz w:val="32"/>
          <w:szCs w:val="32"/>
        </w:rPr>
        <w:t>1</w:t>
      </w:r>
      <w:r>
        <w:rPr>
          <w:rFonts w:hint="eastAsia" w:ascii="宋体" w:eastAsia="宋体"/>
          <w:sz w:val="32"/>
          <w:szCs w:val="32"/>
          <w:lang w:val="en-US" w:eastAsia="zh-CN"/>
        </w:rPr>
        <w:t>4</w:t>
      </w:r>
      <w:r>
        <w:rPr>
          <w:rFonts w:hint="eastAsia" w:ascii="宋体" w:eastAsia="宋体"/>
          <w:sz w:val="32"/>
          <w:szCs w:val="32"/>
        </w:rPr>
        <w:t>、一般公共服务（类）市场监督管理事务（款）医疗器械事务（项）。</w:t>
      </w:r>
    </w:p>
    <w:p>
      <w:pPr>
        <w:pStyle w:val="9"/>
        <w:ind w:firstLine="800" w:firstLineChars="250"/>
        <w:rPr>
          <w:rFonts w:hint="eastAsia" w:ascii="宋体" w:eastAsia="宋体"/>
          <w:sz w:val="32"/>
          <w:szCs w:val="32"/>
        </w:rPr>
      </w:pPr>
      <w:r>
        <w:rPr>
          <w:rFonts w:hint="eastAsia" w:ascii="宋体" w:eastAsia="宋体"/>
          <w:sz w:val="32"/>
          <w:szCs w:val="32"/>
        </w:rPr>
        <w:t>年初预算为0万元，支出决算为</w:t>
      </w:r>
      <w:r>
        <w:rPr>
          <w:rFonts w:hint="eastAsia" w:ascii="宋体" w:eastAsia="宋体"/>
          <w:sz w:val="32"/>
          <w:szCs w:val="32"/>
          <w:lang w:val="en-US" w:eastAsia="zh-CN"/>
        </w:rPr>
        <w:t>0.67</w:t>
      </w:r>
      <w:r>
        <w:rPr>
          <w:rFonts w:hint="eastAsia" w:ascii="宋体" w:eastAsia="宋体"/>
          <w:sz w:val="32"/>
          <w:szCs w:val="32"/>
        </w:rPr>
        <w:t>万元，决算数大于年初预算数的主要原因是：省级专项资金增加。</w:t>
      </w:r>
    </w:p>
    <w:p>
      <w:pPr>
        <w:pStyle w:val="9"/>
        <w:ind w:firstLine="800" w:firstLineChars="250"/>
        <w:rPr>
          <w:rFonts w:hint="eastAsia" w:ascii="宋体" w:eastAsia="宋体"/>
          <w:sz w:val="32"/>
          <w:szCs w:val="32"/>
        </w:rPr>
      </w:pPr>
      <w:r>
        <w:rPr>
          <w:rFonts w:hint="eastAsia" w:ascii="宋体" w:eastAsia="宋体"/>
          <w:sz w:val="32"/>
          <w:szCs w:val="32"/>
        </w:rPr>
        <w:t>1</w:t>
      </w:r>
      <w:r>
        <w:rPr>
          <w:rFonts w:hint="eastAsia" w:ascii="宋体" w:eastAsia="宋体"/>
          <w:sz w:val="32"/>
          <w:szCs w:val="32"/>
          <w:lang w:val="en-US" w:eastAsia="zh-CN"/>
        </w:rPr>
        <w:t>5</w:t>
      </w:r>
      <w:r>
        <w:rPr>
          <w:rFonts w:hint="eastAsia" w:ascii="宋体" w:eastAsia="宋体"/>
          <w:sz w:val="32"/>
          <w:szCs w:val="32"/>
        </w:rPr>
        <w:t>、一般公共服务（类）市场监督管理事务（款）化妆品事务（项）。</w:t>
      </w:r>
    </w:p>
    <w:p>
      <w:pPr>
        <w:pStyle w:val="9"/>
        <w:ind w:firstLine="800" w:firstLineChars="250"/>
        <w:rPr>
          <w:rFonts w:hint="eastAsia" w:ascii="宋体" w:eastAsia="宋体"/>
          <w:sz w:val="32"/>
          <w:szCs w:val="32"/>
        </w:rPr>
      </w:pPr>
      <w:r>
        <w:rPr>
          <w:rFonts w:hint="eastAsia" w:ascii="宋体" w:eastAsia="宋体"/>
          <w:sz w:val="32"/>
          <w:szCs w:val="32"/>
        </w:rPr>
        <w:t>年初预算为0万元，支出决算为</w:t>
      </w:r>
      <w:r>
        <w:rPr>
          <w:rFonts w:hint="eastAsia" w:ascii="宋体" w:eastAsia="宋体"/>
          <w:sz w:val="32"/>
          <w:szCs w:val="32"/>
          <w:lang w:val="en-US" w:eastAsia="zh-CN"/>
        </w:rPr>
        <w:t>8.13</w:t>
      </w:r>
      <w:r>
        <w:rPr>
          <w:rFonts w:hint="eastAsia" w:ascii="宋体" w:eastAsia="宋体"/>
          <w:sz w:val="32"/>
          <w:szCs w:val="32"/>
        </w:rPr>
        <w:t>万元，决算数大于年初预算数的主要原因是：省级专项资金追加。</w:t>
      </w:r>
    </w:p>
    <w:p>
      <w:pPr>
        <w:pStyle w:val="9"/>
        <w:ind w:firstLine="800" w:firstLineChars="250"/>
        <w:rPr>
          <w:rFonts w:hint="eastAsia" w:ascii="宋体" w:eastAsia="宋体"/>
          <w:sz w:val="32"/>
          <w:szCs w:val="32"/>
        </w:rPr>
      </w:pPr>
      <w:r>
        <w:rPr>
          <w:rFonts w:hint="eastAsia" w:ascii="宋体" w:eastAsia="宋体"/>
          <w:sz w:val="32"/>
          <w:szCs w:val="32"/>
        </w:rPr>
        <w:t>1</w:t>
      </w:r>
      <w:r>
        <w:rPr>
          <w:rFonts w:hint="eastAsia" w:ascii="宋体" w:eastAsia="宋体"/>
          <w:sz w:val="32"/>
          <w:szCs w:val="32"/>
          <w:lang w:val="en-US" w:eastAsia="zh-CN"/>
        </w:rPr>
        <w:t>6</w:t>
      </w:r>
      <w:r>
        <w:rPr>
          <w:rFonts w:hint="eastAsia" w:ascii="宋体" w:eastAsia="宋体"/>
          <w:sz w:val="32"/>
          <w:szCs w:val="32"/>
        </w:rPr>
        <w:t>、一般公共服务（类）市场监督管理事务（款）</w:t>
      </w:r>
      <w:r>
        <w:rPr>
          <w:rFonts w:hint="eastAsia" w:ascii="宋体" w:eastAsia="宋体"/>
          <w:sz w:val="32"/>
          <w:szCs w:val="32"/>
          <w:lang w:eastAsia="zh-CN"/>
        </w:rPr>
        <w:t>食品安全监管</w:t>
      </w:r>
      <w:r>
        <w:rPr>
          <w:rFonts w:hint="eastAsia" w:ascii="宋体" w:eastAsia="宋体"/>
          <w:sz w:val="32"/>
          <w:szCs w:val="32"/>
        </w:rPr>
        <w:t>（项）。</w:t>
      </w:r>
    </w:p>
    <w:p>
      <w:pPr>
        <w:pStyle w:val="9"/>
        <w:ind w:firstLine="800" w:firstLineChars="250"/>
        <w:rPr>
          <w:rFonts w:hint="eastAsia" w:ascii="宋体" w:eastAsia="宋体"/>
          <w:sz w:val="32"/>
          <w:szCs w:val="32"/>
        </w:rPr>
      </w:pPr>
      <w:r>
        <w:rPr>
          <w:rFonts w:hint="eastAsia" w:ascii="宋体" w:eastAsia="宋体"/>
          <w:sz w:val="32"/>
          <w:szCs w:val="32"/>
        </w:rPr>
        <w:t>年初预算为</w:t>
      </w:r>
      <w:r>
        <w:rPr>
          <w:rFonts w:hint="eastAsia" w:ascii="宋体" w:eastAsia="宋体"/>
          <w:sz w:val="32"/>
          <w:szCs w:val="32"/>
          <w:lang w:val="en-US" w:eastAsia="zh-CN"/>
        </w:rPr>
        <w:t>82</w:t>
      </w:r>
      <w:r>
        <w:rPr>
          <w:rFonts w:hint="eastAsia" w:ascii="宋体" w:eastAsia="宋体"/>
          <w:sz w:val="32"/>
          <w:szCs w:val="32"/>
        </w:rPr>
        <w:t>万元，支出决算为</w:t>
      </w:r>
      <w:r>
        <w:rPr>
          <w:rFonts w:hint="eastAsia" w:ascii="宋体" w:eastAsia="宋体"/>
          <w:sz w:val="32"/>
          <w:szCs w:val="32"/>
          <w:lang w:val="en-US" w:eastAsia="zh-CN"/>
        </w:rPr>
        <w:t>31.98</w:t>
      </w:r>
      <w:r>
        <w:rPr>
          <w:rFonts w:hint="eastAsia" w:ascii="宋体" w:eastAsia="宋体"/>
          <w:sz w:val="32"/>
          <w:szCs w:val="32"/>
        </w:rPr>
        <w:t>万元，</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39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宋体" w:eastAsia="宋体"/>
          <w:sz w:val="32"/>
          <w:szCs w:val="32"/>
        </w:rPr>
        <w:t>决算数</w:t>
      </w:r>
      <w:r>
        <w:rPr>
          <w:rFonts w:hint="eastAsia" w:ascii="宋体" w:eastAsia="宋体"/>
          <w:sz w:val="32"/>
          <w:szCs w:val="32"/>
          <w:lang w:eastAsia="zh-CN"/>
        </w:rPr>
        <w:t>小</w:t>
      </w:r>
      <w:r>
        <w:rPr>
          <w:rFonts w:hint="eastAsia" w:ascii="宋体" w:eastAsia="宋体"/>
          <w:sz w:val="32"/>
          <w:szCs w:val="32"/>
        </w:rPr>
        <w:t>于年初预算数的主要原因是：</w:t>
      </w:r>
      <w:r>
        <w:rPr>
          <w:rFonts w:hint="eastAsia" w:ascii="宋体" w:eastAsia="宋体"/>
          <w:sz w:val="32"/>
          <w:szCs w:val="32"/>
          <w:lang w:eastAsia="zh-CN"/>
        </w:rPr>
        <w:t>部分专项资金由中央、</w:t>
      </w:r>
      <w:r>
        <w:rPr>
          <w:rFonts w:hint="eastAsia" w:ascii="宋体" w:eastAsia="宋体"/>
          <w:sz w:val="32"/>
          <w:szCs w:val="32"/>
        </w:rPr>
        <w:t>省级专项资金追加</w:t>
      </w:r>
      <w:r>
        <w:rPr>
          <w:rFonts w:hint="eastAsia" w:ascii="宋体" w:eastAsia="宋体"/>
          <w:sz w:val="32"/>
          <w:szCs w:val="32"/>
          <w:lang w:eastAsia="zh-CN"/>
        </w:rPr>
        <w:t>使用</w:t>
      </w:r>
      <w:r>
        <w:rPr>
          <w:rFonts w:hint="eastAsia" w:ascii="宋体" w:eastAsia="宋体"/>
          <w:sz w:val="32"/>
          <w:szCs w:val="32"/>
        </w:rPr>
        <w:t>。</w:t>
      </w:r>
    </w:p>
    <w:p>
      <w:pPr>
        <w:pStyle w:val="9"/>
        <w:ind w:firstLine="800" w:firstLineChars="250"/>
        <w:rPr>
          <w:rFonts w:hint="eastAsia" w:ascii="宋体" w:eastAsia="宋体"/>
          <w:sz w:val="32"/>
          <w:szCs w:val="32"/>
        </w:rPr>
      </w:pPr>
      <w:r>
        <w:rPr>
          <w:rFonts w:hint="eastAsia" w:ascii="宋体" w:eastAsia="宋体"/>
          <w:sz w:val="32"/>
          <w:szCs w:val="32"/>
          <w:lang w:val="en-US" w:eastAsia="zh-CN"/>
        </w:rPr>
        <w:t>17、</w:t>
      </w:r>
      <w:r>
        <w:rPr>
          <w:rFonts w:hint="eastAsia" w:ascii="宋体" w:eastAsia="宋体"/>
          <w:sz w:val="32"/>
          <w:szCs w:val="32"/>
        </w:rPr>
        <w:t>一般公共服务（类）市场监督管理事务（款）事业运行（项）。</w:t>
      </w:r>
    </w:p>
    <w:p>
      <w:pPr>
        <w:pStyle w:val="9"/>
        <w:ind w:firstLine="800" w:firstLineChars="250"/>
        <w:rPr>
          <w:rFonts w:hint="eastAsia" w:ascii="宋体" w:eastAsia="宋体"/>
          <w:color w:val="auto"/>
          <w:sz w:val="32"/>
          <w:szCs w:val="32"/>
        </w:rPr>
      </w:pPr>
      <w:r>
        <w:rPr>
          <w:rFonts w:hint="eastAsia" w:ascii="宋体" w:eastAsia="宋体"/>
          <w:sz w:val="32"/>
          <w:szCs w:val="32"/>
        </w:rPr>
        <w:t>年初预算为</w:t>
      </w:r>
      <w:r>
        <w:rPr>
          <w:rFonts w:hint="eastAsia" w:ascii="宋体" w:eastAsia="宋体"/>
          <w:sz w:val="32"/>
          <w:szCs w:val="32"/>
          <w:lang w:val="en-US" w:eastAsia="zh-CN"/>
        </w:rPr>
        <w:t>68.45</w:t>
      </w:r>
      <w:r>
        <w:rPr>
          <w:rFonts w:hint="eastAsia" w:ascii="宋体" w:eastAsia="宋体"/>
          <w:sz w:val="32"/>
          <w:szCs w:val="32"/>
        </w:rPr>
        <w:t>万元，支出决算为</w:t>
      </w:r>
      <w:r>
        <w:rPr>
          <w:rFonts w:hint="eastAsia" w:ascii="宋体" w:eastAsia="宋体"/>
          <w:sz w:val="32"/>
          <w:szCs w:val="32"/>
          <w:lang w:val="en-US" w:eastAsia="zh-CN"/>
        </w:rPr>
        <w:t>148.80</w:t>
      </w:r>
      <w:r>
        <w:rPr>
          <w:rFonts w:hint="eastAsia" w:ascii="宋体" w:eastAsia="宋体"/>
          <w:sz w:val="32"/>
          <w:szCs w:val="32"/>
        </w:rPr>
        <w:t>万元，</w:t>
      </w:r>
      <w:r>
        <w:rPr>
          <w:rFonts w:hint="eastAsia" w:asciiTheme="minorEastAsia" w:hAnsiTheme="minorEastAsia" w:eastAsiaTheme="minorEastAsia"/>
          <w:sz w:val="32"/>
          <w:szCs w:val="32"/>
        </w:rPr>
        <w:t>完成年初预算的</w:t>
      </w:r>
      <w:r>
        <w:rPr>
          <w:rFonts w:hint="eastAsia" w:ascii="Times New Roman" w:hAnsi="Times New Roman" w:eastAsia="仿宋_GB2312" w:cs="Times New Roman"/>
          <w:color w:val="auto"/>
          <w:sz w:val="32"/>
          <w:szCs w:val="32"/>
          <w:lang w:val="en-US" w:eastAsia="zh-CN"/>
        </w:rPr>
        <w:t>217.38</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w:t>
      </w:r>
      <w:r>
        <w:rPr>
          <w:rFonts w:hint="eastAsia" w:ascii="宋体" w:eastAsia="宋体"/>
          <w:color w:val="auto"/>
          <w:sz w:val="32"/>
          <w:szCs w:val="32"/>
        </w:rPr>
        <w:t>决算数大于年初预算数的主要原因是：财政追加政策性奖励金等经费拨款。</w:t>
      </w:r>
    </w:p>
    <w:p>
      <w:pPr>
        <w:pStyle w:val="9"/>
        <w:ind w:firstLine="800" w:firstLineChars="250"/>
        <w:rPr>
          <w:rFonts w:hint="eastAsia" w:ascii="宋体" w:eastAsia="宋体"/>
          <w:sz w:val="32"/>
          <w:szCs w:val="32"/>
        </w:rPr>
      </w:pPr>
      <w:r>
        <w:rPr>
          <w:rFonts w:hint="eastAsia" w:ascii="宋体" w:eastAsia="宋体"/>
          <w:sz w:val="32"/>
          <w:szCs w:val="32"/>
        </w:rPr>
        <w:t>1</w:t>
      </w:r>
      <w:r>
        <w:rPr>
          <w:rFonts w:hint="eastAsia" w:ascii="宋体" w:eastAsia="宋体"/>
          <w:sz w:val="32"/>
          <w:szCs w:val="32"/>
          <w:lang w:val="en-US" w:eastAsia="zh-CN"/>
        </w:rPr>
        <w:t>8</w:t>
      </w:r>
      <w:r>
        <w:rPr>
          <w:rFonts w:hint="eastAsia" w:ascii="宋体" w:eastAsia="宋体"/>
          <w:sz w:val="32"/>
          <w:szCs w:val="32"/>
        </w:rPr>
        <w:t>、一般公共服务（类）市场监督管理事务（款）其他市场监督管理事务（项）。</w:t>
      </w:r>
    </w:p>
    <w:p>
      <w:pPr>
        <w:pStyle w:val="9"/>
        <w:ind w:firstLine="800" w:firstLineChars="250"/>
        <w:rPr>
          <w:rFonts w:hint="eastAsia" w:ascii="宋体" w:eastAsia="宋体"/>
          <w:sz w:val="32"/>
          <w:szCs w:val="32"/>
        </w:rPr>
      </w:pPr>
      <w:r>
        <w:rPr>
          <w:rFonts w:hint="eastAsia" w:ascii="宋体" w:eastAsia="宋体"/>
          <w:color w:val="auto"/>
          <w:sz w:val="32"/>
          <w:szCs w:val="32"/>
        </w:rPr>
        <w:t>年初预算为</w:t>
      </w:r>
      <w:r>
        <w:rPr>
          <w:rFonts w:hint="eastAsia" w:ascii="宋体" w:eastAsia="宋体"/>
          <w:color w:val="auto"/>
          <w:sz w:val="32"/>
          <w:szCs w:val="32"/>
          <w:lang w:val="en-US" w:eastAsia="zh-CN"/>
        </w:rPr>
        <w:t>0</w:t>
      </w:r>
      <w:r>
        <w:rPr>
          <w:rFonts w:hint="eastAsia" w:ascii="宋体" w:eastAsia="宋体"/>
          <w:color w:val="auto"/>
          <w:sz w:val="32"/>
          <w:szCs w:val="32"/>
        </w:rPr>
        <w:t>万元，支出决算为</w:t>
      </w:r>
      <w:r>
        <w:rPr>
          <w:rFonts w:hint="eastAsia" w:ascii="宋体" w:eastAsia="宋体"/>
          <w:color w:val="auto"/>
          <w:sz w:val="32"/>
          <w:szCs w:val="32"/>
          <w:lang w:val="en-US" w:eastAsia="zh-CN"/>
        </w:rPr>
        <w:t>125.31</w:t>
      </w:r>
      <w:r>
        <w:rPr>
          <w:rFonts w:hint="eastAsia" w:ascii="宋体" w:eastAsia="宋体"/>
          <w:color w:val="auto"/>
          <w:sz w:val="32"/>
          <w:szCs w:val="32"/>
        </w:rPr>
        <w:t>万元</w:t>
      </w:r>
      <w:r>
        <w:rPr>
          <w:rFonts w:hint="eastAsia" w:ascii="宋体" w:eastAsia="宋体"/>
          <w:color w:val="auto"/>
          <w:sz w:val="32"/>
          <w:szCs w:val="32"/>
          <w:lang w:eastAsia="zh-CN"/>
        </w:rPr>
        <w:t>，</w:t>
      </w:r>
      <w:r>
        <w:rPr>
          <w:rFonts w:hint="eastAsia" w:ascii="宋体" w:eastAsia="宋体"/>
          <w:sz w:val="32"/>
          <w:szCs w:val="32"/>
        </w:rPr>
        <w:t>决算数大于年初预算数的主要原因是：省级专项资金追加。</w:t>
      </w:r>
    </w:p>
    <w:p>
      <w:pPr>
        <w:pStyle w:val="9"/>
        <w:ind w:firstLine="800" w:firstLineChars="250"/>
        <w:rPr>
          <w:rFonts w:hint="eastAsia" w:ascii="宋体" w:eastAsia="宋体"/>
          <w:sz w:val="32"/>
          <w:szCs w:val="32"/>
        </w:rPr>
      </w:pPr>
      <w:r>
        <w:rPr>
          <w:rFonts w:hint="eastAsia" w:ascii="宋体" w:eastAsia="宋体"/>
          <w:sz w:val="32"/>
          <w:szCs w:val="32"/>
        </w:rPr>
        <w:t>1</w:t>
      </w:r>
      <w:r>
        <w:rPr>
          <w:rFonts w:hint="eastAsia" w:ascii="宋体" w:eastAsia="宋体"/>
          <w:sz w:val="32"/>
          <w:szCs w:val="32"/>
          <w:lang w:val="en-US" w:eastAsia="zh-CN"/>
        </w:rPr>
        <w:t>9</w:t>
      </w:r>
      <w:r>
        <w:rPr>
          <w:rFonts w:hint="eastAsia" w:ascii="宋体" w:eastAsia="宋体"/>
          <w:sz w:val="32"/>
          <w:szCs w:val="32"/>
        </w:rPr>
        <w:t>、教育支出（类）进修及培训（款）培训支出（项）。</w:t>
      </w:r>
    </w:p>
    <w:p>
      <w:pPr>
        <w:pStyle w:val="9"/>
        <w:ind w:firstLine="800" w:firstLineChars="250"/>
        <w:rPr>
          <w:rFonts w:hint="eastAsia" w:ascii="Times New Roman" w:hAnsi="Times New Roman" w:eastAsia="宋体" w:cs="Times New Roman"/>
          <w:color w:val="auto"/>
          <w:sz w:val="32"/>
          <w:szCs w:val="32"/>
          <w:lang w:val="en-US" w:eastAsia="zh-CN"/>
        </w:rPr>
      </w:pPr>
      <w:r>
        <w:rPr>
          <w:rFonts w:hint="eastAsia" w:ascii="宋体" w:eastAsia="宋体"/>
          <w:sz w:val="32"/>
          <w:szCs w:val="32"/>
        </w:rPr>
        <w:t>年初预算为</w:t>
      </w:r>
      <w:r>
        <w:rPr>
          <w:rFonts w:hint="eastAsia" w:ascii="宋体" w:eastAsia="宋体"/>
          <w:sz w:val="32"/>
          <w:szCs w:val="32"/>
          <w:lang w:val="en-US" w:eastAsia="zh-CN"/>
        </w:rPr>
        <w:t>23.99</w:t>
      </w:r>
      <w:r>
        <w:rPr>
          <w:rFonts w:hint="eastAsia" w:ascii="宋体" w:eastAsia="宋体"/>
          <w:sz w:val="32"/>
          <w:szCs w:val="32"/>
        </w:rPr>
        <w:t>万元，支出决算为</w:t>
      </w:r>
      <w:r>
        <w:rPr>
          <w:rFonts w:hint="eastAsia" w:ascii="宋体" w:eastAsia="宋体"/>
          <w:sz w:val="32"/>
          <w:szCs w:val="32"/>
          <w:lang w:val="en-US" w:eastAsia="zh-CN"/>
        </w:rPr>
        <w:t>23.78</w:t>
      </w:r>
      <w:r>
        <w:rPr>
          <w:rFonts w:hint="eastAsia" w:ascii="宋体" w:eastAsia="宋体"/>
          <w:sz w:val="32"/>
          <w:szCs w:val="32"/>
        </w:rPr>
        <w:t>万元.</w:t>
      </w:r>
      <w:r>
        <w:rPr>
          <w:rFonts w:hint="eastAsia" w:ascii="宋体" w:eastAsia="宋体"/>
          <w:sz w:val="32"/>
          <w:szCs w:val="32"/>
          <w:lang w:eastAsia="zh-CN"/>
        </w:rPr>
        <w:t>。</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99.12</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hint="eastAsia" w:ascii="宋体" w:eastAsia="宋体"/>
          <w:sz w:val="32"/>
          <w:szCs w:val="32"/>
        </w:rPr>
        <w:t>决算数</w:t>
      </w:r>
      <w:r>
        <w:rPr>
          <w:rFonts w:hint="eastAsia" w:ascii="宋体" w:eastAsia="宋体"/>
          <w:sz w:val="32"/>
          <w:szCs w:val="32"/>
          <w:lang w:eastAsia="zh-CN"/>
        </w:rPr>
        <w:t>小</w:t>
      </w:r>
      <w:r>
        <w:rPr>
          <w:rFonts w:hint="eastAsia" w:ascii="宋体" w:eastAsia="宋体"/>
          <w:sz w:val="32"/>
          <w:szCs w:val="32"/>
        </w:rPr>
        <w:t>于年初预算数的主要原因是：</w:t>
      </w:r>
      <w:r>
        <w:rPr>
          <w:rFonts w:hint="eastAsia" w:ascii="宋体" w:eastAsia="宋体"/>
          <w:sz w:val="32"/>
          <w:szCs w:val="32"/>
          <w:lang w:eastAsia="zh-CN"/>
        </w:rPr>
        <w:t>由于人员变动计提培训费减少。</w:t>
      </w:r>
    </w:p>
    <w:p>
      <w:pPr>
        <w:pStyle w:val="9"/>
        <w:ind w:firstLine="800" w:firstLineChars="250"/>
        <w:rPr>
          <w:rFonts w:hint="eastAsia" w:ascii="宋体" w:eastAsia="宋体"/>
          <w:sz w:val="32"/>
          <w:szCs w:val="32"/>
        </w:rPr>
      </w:pPr>
      <w:r>
        <w:rPr>
          <w:rFonts w:hint="eastAsia" w:ascii="宋体" w:eastAsia="宋体"/>
          <w:sz w:val="32"/>
          <w:szCs w:val="32"/>
          <w:lang w:val="en-US" w:eastAsia="zh-CN"/>
        </w:rPr>
        <w:t>20</w:t>
      </w:r>
      <w:r>
        <w:rPr>
          <w:rFonts w:hint="eastAsia" w:ascii="宋体" w:eastAsia="宋体"/>
          <w:sz w:val="32"/>
          <w:szCs w:val="32"/>
        </w:rPr>
        <w:t>、科学技术支出（类）科学技术管理事务（款）一般行政管理事务（项）。</w:t>
      </w:r>
    </w:p>
    <w:p>
      <w:pPr>
        <w:pStyle w:val="9"/>
        <w:ind w:firstLine="800" w:firstLineChars="250"/>
        <w:rPr>
          <w:rFonts w:hint="eastAsia" w:ascii="宋体" w:eastAsia="宋体"/>
          <w:sz w:val="32"/>
          <w:szCs w:val="32"/>
        </w:rPr>
      </w:pPr>
      <w:r>
        <w:rPr>
          <w:rFonts w:hint="eastAsia" w:ascii="宋体" w:eastAsia="宋体"/>
          <w:sz w:val="32"/>
          <w:szCs w:val="32"/>
        </w:rPr>
        <w:t>年初预算为0万元，支出决算为</w:t>
      </w:r>
      <w:r>
        <w:rPr>
          <w:rFonts w:hint="eastAsia" w:ascii="宋体" w:eastAsia="宋体"/>
          <w:sz w:val="32"/>
          <w:szCs w:val="32"/>
          <w:lang w:val="en-US" w:eastAsia="zh-CN"/>
        </w:rPr>
        <w:t>3.80</w:t>
      </w:r>
      <w:r>
        <w:rPr>
          <w:rFonts w:hint="eastAsia" w:ascii="宋体" w:eastAsia="宋体"/>
          <w:sz w:val="32"/>
          <w:szCs w:val="32"/>
        </w:rPr>
        <w:t>万元，决算数大于年初预算数的主要原因是：</w:t>
      </w:r>
      <w:r>
        <w:rPr>
          <w:rFonts w:hint="eastAsia" w:ascii="宋体" w:eastAsia="宋体"/>
          <w:sz w:val="32"/>
          <w:szCs w:val="32"/>
          <w:lang w:eastAsia="zh-CN"/>
        </w:rPr>
        <w:t>支付上年结转未付成功</w:t>
      </w:r>
      <w:r>
        <w:rPr>
          <w:rFonts w:hint="eastAsia" w:ascii="宋体" w:eastAsia="宋体"/>
          <w:sz w:val="32"/>
          <w:szCs w:val="32"/>
        </w:rPr>
        <w:t>知识产权专利奖励。</w:t>
      </w:r>
    </w:p>
    <w:p>
      <w:pPr>
        <w:pStyle w:val="9"/>
        <w:ind w:firstLine="800" w:firstLineChars="250"/>
        <w:rPr>
          <w:rFonts w:hint="eastAsia" w:ascii="宋体" w:eastAsia="宋体"/>
          <w:sz w:val="32"/>
          <w:szCs w:val="32"/>
        </w:rPr>
      </w:pPr>
      <w:r>
        <w:rPr>
          <w:rFonts w:hint="eastAsia" w:ascii="宋体" w:eastAsia="宋体"/>
          <w:sz w:val="32"/>
          <w:szCs w:val="32"/>
          <w:lang w:val="en-US" w:eastAsia="zh-CN"/>
        </w:rPr>
        <w:t>21</w:t>
      </w:r>
      <w:r>
        <w:rPr>
          <w:rFonts w:hint="eastAsia" w:ascii="宋体" w:eastAsia="宋体"/>
          <w:sz w:val="32"/>
          <w:szCs w:val="32"/>
        </w:rPr>
        <w:t>、社会保障和就业支出（类）</w:t>
      </w:r>
      <w:r>
        <w:rPr>
          <w:rFonts w:hint="eastAsia" w:ascii="宋体" w:eastAsia="宋体"/>
          <w:sz w:val="32"/>
          <w:szCs w:val="32"/>
          <w:lang w:eastAsia="zh-CN"/>
        </w:rPr>
        <w:t>人力资源和社会保障管理事务</w:t>
      </w:r>
      <w:r>
        <w:rPr>
          <w:rFonts w:hint="eastAsia" w:ascii="宋体" w:eastAsia="宋体"/>
          <w:sz w:val="32"/>
          <w:szCs w:val="32"/>
        </w:rPr>
        <w:t>（款）</w:t>
      </w:r>
      <w:r>
        <w:rPr>
          <w:rFonts w:hint="eastAsia" w:ascii="宋体" w:eastAsia="宋体"/>
          <w:sz w:val="32"/>
          <w:szCs w:val="32"/>
          <w:lang w:eastAsia="zh-CN"/>
        </w:rPr>
        <w:t>社会保险经办机构</w:t>
      </w:r>
      <w:r>
        <w:rPr>
          <w:rFonts w:hint="eastAsia" w:ascii="宋体" w:eastAsia="宋体"/>
          <w:sz w:val="32"/>
          <w:szCs w:val="32"/>
        </w:rPr>
        <w:t>（项）。</w:t>
      </w:r>
    </w:p>
    <w:p>
      <w:pPr>
        <w:pStyle w:val="9"/>
        <w:ind w:firstLine="800" w:firstLineChars="250"/>
        <w:rPr>
          <w:rFonts w:hint="eastAsia" w:ascii="宋体" w:eastAsia="宋体"/>
          <w:sz w:val="32"/>
          <w:szCs w:val="32"/>
          <w:lang w:eastAsia="zh-CN"/>
        </w:rPr>
      </w:pPr>
      <w:r>
        <w:rPr>
          <w:rFonts w:hint="eastAsia" w:ascii="宋体" w:eastAsia="宋体"/>
          <w:sz w:val="32"/>
          <w:szCs w:val="32"/>
        </w:rPr>
        <w:t>年初预算为</w:t>
      </w:r>
      <w:r>
        <w:rPr>
          <w:rFonts w:hint="eastAsia" w:ascii="宋体" w:eastAsia="宋体"/>
          <w:sz w:val="32"/>
          <w:szCs w:val="32"/>
          <w:lang w:val="en-US" w:eastAsia="zh-CN"/>
        </w:rPr>
        <w:t>0</w:t>
      </w:r>
      <w:r>
        <w:rPr>
          <w:rFonts w:hint="eastAsia" w:ascii="宋体" w:eastAsia="宋体"/>
          <w:sz w:val="32"/>
          <w:szCs w:val="32"/>
        </w:rPr>
        <w:t>万元，支出决算为1</w:t>
      </w:r>
      <w:r>
        <w:rPr>
          <w:rFonts w:hint="eastAsia" w:ascii="宋体" w:eastAsia="宋体"/>
          <w:sz w:val="32"/>
          <w:szCs w:val="32"/>
          <w:lang w:val="en-US" w:eastAsia="zh-CN"/>
        </w:rPr>
        <w:t>2.12</w:t>
      </w:r>
      <w:r>
        <w:rPr>
          <w:rFonts w:hint="eastAsia" w:ascii="宋体" w:eastAsia="宋体"/>
          <w:sz w:val="32"/>
          <w:szCs w:val="32"/>
        </w:rPr>
        <w:t>万元</w:t>
      </w:r>
      <w:r>
        <w:rPr>
          <w:rFonts w:hint="eastAsia" w:ascii="宋体" w:eastAsia="宋体"/>
          <w:color w:val="auto"/>
          <w:sz w:val="32"/>
          <w:szCs w:val="32"/>
        </w:rPr>
        <w:t>，</w:t>
      </w:r>
      <w:r>
        <w:rPr>
          <w:rFonts w:hint="eastAsia" w:ascii="宋体" w:eastAsia="宋体"/>
          <w:sz w:val="32"/>
          <w:szCs w:val="32"/>
        </w:rPr>
        <w:t>决算数大于年初预算数的主要原因是：</w:t>
      </w:r>
      <w:r>
        <w:rPr>
          <w:rFonts w:hint="eastAsia" w:ascii="宋体" w:eastAsia="宋体"/>
          <w:sz w:val="32"/>
          <w:szCs w:val="32"/>
          <w:lang w:eastAsia="zh-CN"/>
        </w:rPr>
        <w:t>在职人员失业保险缴费由财政统一安排，本单位无</w:t>
      </w:r>
      <w:r>
        <w:rPr>
          <w:rFonts w:hint="eastAsia" w:ascii="宋体" w:eastAsia="宋体"/>
          <w:sz w:val="32"/>
          <w:szCs w:val="32"/>
        </w:rPr>
        <w:t>年初预算</w:t>
      </w:r>
      <w:r>
        <w:rPr>
          <w:rFonts w:hint="eastAsia" w:ascii="宋体" w:eastAsia="宋体"/>
          <w:sz w:val="32"/>
          <w:szCs w:val="32"/>
          <w:lang w:eastAsia="zh-CN"/>
        </w:rPr>
        <w:t>。</w:t>
      </w:r>
    </w:p>
    <w:p>
      <w:pPr>
        <w:pStyle w:val="9"/>
        <w:ind w:firstLine="800" w:firstLineChars="250"/>
        <w:rPr>
          <w:rFonts w:hint="eastAsia" w:ascii="宋体" w:eastAsia="宋体"/>
          <w:sz w:val="32"/>
          <w:szCs w:val="32"/>
        </w:rPr>
      </w:pPr>
      <w:r>
        <w:rPr>
          <w:rFonts w:hint="eastAsia" w:ascii="宋体" w:eastAsia="宋体"/>
          <w:sz w:val="32"/>
          <w:szCs w:val="32"/>
          <w:lang w:val="en-US" w:eastAsia="zh-CN"/>
        </w:rPr>
        <w:t>22、</w:t>
      </w:r>
      <w:r>
        <w:rPr>
          <w:rFonts w:hint="eastAsia" w:ascii="宋体" w:eastAsia="宋体"/>
          <w:sz w:val="32"/>
          <w:szCs w:val="32"/>
        </w:rPr>
        <w:t>社会保障和就业支出（类）行政事业单位离退休（款）归口管理的行政单位离退休（项）。</w:t>
      </w:r>
    </w:p>
    <w:p>
      <w:pPr>
        <w:pStyle w:val="9"/>
        <w:ind w:firstLine="800" w:firstLineChars="250"/>
        <w:rPr>
          <w:rFonts w:hint="eastAsia" w:ascii="宋体" w:eastAsia="宋体"/>
          <w:sz w:val="32"/>
          <w:szCs w:val="32"/>
        </w:rPr>
      </w:pPr>
      <w:r>
        <w:rPr>
          <w:rFonts w:hint="eastAsia" w:ascii="宋体" w:eastAsia="宋体"/>
          <w:sz w:val="32"/>
          <w:szCs w:val="32"/>
        </w:rPr>
        <w:t>年初预算为7</w:t>
      </w:r>
      <w:r>
        <w:rPr>
          <w:rFonts w:hint="eastAsia" w:ascii="宋体" w:eastAsia="宋体"/>
          <w:sz w:val="32"/>
          <w:szCs w:val="32"/>
          <w:lang w:val="en-US" w:eastAsia="zh-CN"/>
        </w:rPr>
        <w:t>3.44</w:t>
      </w:r>
      <w:r>
        <w:rPr>
          <w:rFonts w:hint="eastAsia" w:ascii="宋体" w:eastAsia="宋体"/>
          <w:sz w:val="32"/>
          <w:szCs w:val="32"/>
        </w:rPr>
        <w:t>万元，支出决算为</w:t>
      </w:r>
      <w:r>
        <w:rPr>
          <w:rFonts w:hint="eastAsia" w:ascii="宋体" w:eastAsia="宋体"/>
          <w:sz w:val="32"/>
          <w:szCs w:val="32"/>
          <w:lang w:val="en-US" w:eastAsia="zh-CN"/>
        </w:rPr>
        <w:t>251.91</w:t>
      </w:r>
      <w:r>
        <w:rPr>
          <w:rFonts w:hint="eastAsia" w:ascii="宋体" w:eastAsia="宋体"/>
          <w:sz w:val="32"/>
          <w:szCs w:val="32"/>
        </w:rPr>
        <w:t>万元</w:t>
      </w:r>
      <w:r>
        <w:rPr>
          <w:rFonts w:hint="eastAsia" w:ascii="宋体" w:eastAsia="宋体"/>
          <w:color w:val="auto"/>
          <w:sz w:val="32"/>
          <w:szCs w:val="32"/>
        </w:rPr>
        <w:t>，</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343.01</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w:t>
      </w:r>
      <w:r>
        <w:rPr>
          <w:rFonts w:hint="eastAsia" w:ascii="宋体" w:eastAsia="宋体"/>
          <w:sz w:val="32"/>
          <w:szCs w:val="32"/>
        </w:rPr>
        <w:t>决算数大于年初预算数的主要原因是：离退休人员政策性奖励金</w:t>
      </w:r>
      <w:r>
        <w:rPr>
          <w:rFonts w:hint="eastAsia" w:ascii="宋体" w:eastAsia="宋体"/>
          <w:sz w:val="32"/>
          <w:szCs w:val="32"/>
          <w:lang w:eastAsia="zh-CN"/>
        </w:rPr>
        <w:t>由财政统一安排，本单位</w:t>
      </w:r>
      <w:r>
        <w:rPr>
          <w:rFonts w:hint="eastAsia" w:ascii="宋体" w:eastAsia="宋体"/>
          <w:sz w:val="32"/>
          <w:szCs w:val="32"/>
        </w:rPr>
        <w:t>无年初预算。</w:t>
      </w:r>
    </w:p>
    <w:p>
      <w:pPr>
        <w:pStyle w:val="9"/>
        <w:ind w:firstLine="800" w:firstLineChars="250"/>
        <w:rPr>
          <w:rFonts w:hint="eastAsia" w:ascii="宋体" w:eastAsia="宋体"/>
          <w:sz w:val="32"/>
          <w:szCs w:val="32"/>
        </w:rPr>
      </w:pPr>
      <w:r>
        <w:rPr>
          <w:rFonts w:hint="eastAsia" w:ascii="宋体" w:eastAsia="宋体"/>
          <w:sz w:val="32"/>
          <w:szCs w:val="32"/>
          <w:lang w:val="en-US" w:eastAsia="zh-CN"/>
        </w:rPr>
        <w:t>23</w:t>
      </w:r>
      <w:r>
        <w:rPr>
          <w:rFonts w:hint="eastAsia" w:ascii="宋体" w:eastAsia="宋体"/>
          <w:sz w:val="32"/>
          <w:szCs w:val="32"/>
        </w:rPr>
        <w:t>、社会保障和就业支出（类）行政事业单位离退休（款）事业单位离退休（项）。</w:t>
      </w:r>
    </w:p>
    <w:p>
      <w:pPr>
        <w:pStyle w:val="9"/>
        <w:ind w:firstLine="800" w:firstLineChars="250"/>
        <w:rPr>
          <w:rFonts w:hint="eastAsia" w:ascii="宋体" w:eastAsia="宋体"/>
          <w:sz w:val="32"/>
          <w:szCs w:val="32"/>
        </w:rPr>
      </w:pPr>
      <w:r>
        <w:rPr>
          <w:rFonts w:hint="eastAsia" w:ascii="宋体" w:eastAsia="宋体"/>
          <w:sz w:val="32"/>
          <w:szCs w:val="32"/>
        </w:rPr>
        <w:t>年初预算为</w:t>
      </w:r>
      <w:r>
        <w:rPr>
          <w:rFonts w:hint="eastAsia" w:ascii="宋体" w:eastAsia="宋体"/>
          <w:sz w:val="32"/>
          <w:szCs w:val="32"/>
          <w:lang w:val="en-US" w:eastAsia="zh-CN"/>
        </w:rPr>
        <w:t>2.02</w:t>
      </w:r>
      <w:r>
        <w:rPr>
          <w:rFonts w:hint="eastAsia" w:ascii="宋体" w:eastAsia="宋体"/>
          <w:sz w:val="32"/>
          <w:szCs w:val="32"/>
        </w:rPr>
        <w:t>万元，支出决算为</w:t>
      </w:r>
      <w:r>
        <w:rPr>
          <w:rFonts w:hint="eastAsia" w:ascii="宋体" w:eastAsia="宋体"/>
          <w:sz w:val="32"/>
          <w:szCs w:val="32"/>
          <w:lang w:val="en-US" w:eastAsia="zh-CN"/>
        </w:rPr>
        <w:t>8.78</w:t>
      </w:r>
      <w:r>
        <w:rPr>
          <w:rFonts w:hint="eastAsia" w:ascii="宋体" w:eastAsia="宋体"/>
          <w:sz w:val="32"/>
          <w:szCs w:val="32"/>
        </w:rPr>
        <w:t>万元</w:t>
      </w:r>
      <w:r>
        <w:rPr>
          <w:rFonts w:hint="eastAsia" w:ascii="宋体" w:eastAsia="宋体"/>
          <w:color w:val="auto"/>
          <w:sz w:val="32"/>
          <w:szCs w:val="32"/>
        </w:rPr>
        <w:t>，</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434.65</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w:t>
      </w:r>
      <w:r>
        <w:rPr>
          <w:rFonts w:hint="eastAsia" w:ascii="宋体" w:eastAsia="宋体"/>
          <w:color w:val="auto"/>
          <w:sz w:val="32"/>
          <w:szCs w:val="32"/>
        </w:rPr>
        <w:t>决算数</w:t>
      </w:r>
      <w:r>
        <w:rPr>
          <w:rFonts w:hint="eastAsia" w:ascii="宋体" w:eastAsia="宋体"/>
          <w:sz w:val="32"/>
          <w:szCs w:val="32"/>
        </w:rPr>
        <w:t>大于年初预算数的主要原因是：离退休人员政策性奖励金</w:t>
      </w:r>
      <w:r>
        <w:rPr>
          <w:rFonts w:hint="eastAsia" w:ascii="宋体" w:eastAsia="宋体"/>
          <w:sz w:val="32"/>
          <w:szCs w:val="32"/>
          <w:lang w:eastAsia="zh-CN"/>
        </w:rPr>
        <w:t>由财政统一安排，本单位</w:t>
      </w:r>
      <w:r>
        <w:rPr>
          <w:rFonts w:hint="eastAsia" w:ascii="宋体" w:eastAsia="宋体"/>
          <w:sz w:val="32"/>
          <w:szCs w:val="32"/>
        </w:rPr>
        <w:t>无年初预算。</w:t>
      </w:r>
    </w:p>
    <w:p>
      <w:pPr>
        <w:pStyle w:val="9"/>
        <w:ind w:firstLine="800" w:firstLineChars="250"/>
        <w:rPr>
          <w:rFonts w:hint="eastAsia" w:ascii="宋体" w:eastAsia="宋体"/>
          <w:sz w:val="32"/>
          <w:szCs w:val="32"/>
        </w:rPr>
      </w:pPr>
      <w:r>
        <w:rPr>
          <w:rFonts w:hint="eastAsia" w:ascii="宋体" w:eastAsia="宋体"/>
          <w:sz w:val="32"/>
          <w:szCs w:val="32"/>
          <w:lang w:val="en-US" w:eastAsia="zh-CN"/>
        </w:rPr>
        <w:t>24</w:t>
      </w:r>
      <w:r>
        <w:rPr>
          <w:rFonts w:hint="eastAsia" w:ascii="宋体" w:eastAsia="宋体"/>
          <w:sz w:val="32"/>
          <w:szCs w:val="32"/>
        </w:rPr>
        <w:t>、社会保障和就业支出（类）行政事业单位离退休（款）</w:t>
      </w:r>
      <w:r>
        <w:rPr>
          <w:rFonts w:hint="eastAsia" w:ascii="宋体" w:eastAsia="宋体"/>
          <w:sz w:val="32"/>
          <w:szCs w:val="32"/>
          <w:lang w:eastAsia="zh-CN"/>
        </w:rPr>
        <w:t>机关事业单位基本养老保险缴费支出</w:t>
      </w:r>
      <w:r>
        <w:rPr>
          <w:rFonts w:hint="eastAsia" w:ascii="宋体" w:eastAsia="宋体"/>
          <w:sz w:val="32"/>
          <w:szCs w:val="32"/>
        </w:rPr>
        <w:t>（项）。</w:t>
      </w:r>
    </w:p>
    <w:p>
      <w:pPr>
        <w:pStyle w:val="9"/>
        <w:ind w:firstLine="800" w:firstLineChars="250"/>
        <w:rPr>
          <w:rFonts w:hint="eastAsia" w:ascii="宋体" w:eastAsia="宋体"/>
          <w:sz w:val="32"/>
          <w:szCs w:val="32"/>
          <w:lang w:eastAsia="zh-CN"/>
        </w:rPr>
      </w:pPr>
      <w:r>
        <w:rPr>
          <w:rFonts w:hint="eastAsia" w:ascii="宋体" w:eastAsia="宋体"/>
          <w:sz w:val="32"/>
          <w:szCs w:val="32"/>
        </w:rPr>
        <w:t>年初预算为</w:t>
      </w:r>
      <w:r>
        <w:rPr>
          <w:rFonts w:hint="eastAsia" w:ascii="宋体" w:eastAsia="宋体"/>
          <w:sz w:val="32"/>
          <w:szCs w:val="32"/>
          <w:lang w:val="en-US" w:eastAsia="zh-CN"/>
        </w:rPr>
        <w:t>285.38</w:t>
      </w:r>
      <w:r>
        <w:rPr>
          <w:rFonts w:hint="eastAsia" w:ascii="宋体" w:eastAsia="宋体"/>
          <w:sz w:val="32"/>
          <w:szCs w:val="32"/>
        </w:rPr>
        <w:t>万元，支出决算为</w:t>
      </w:r>
      <w:r>
        <w:rPr>
          <w:rFonts w:hint="eastAsia" w:ascii="宋体" w:eastAsia="宋体"/>
          <w:sz w:val="32"/>
          <w:szCs w:val="32"/>
          <w:lang w:val="en-US" w:eastAsia="zh-CN"/>
        </w:rPr>
        <w:t>286.72</w:t>
      </w:r>
      <w:r>
        <w:rPr>
          <w:rFonts w:hint="eastAsia" w:ascii="宋体" w:eastAsia="宋体"/>
          <w:sz w:val="32"/>
          <w:szCs w:val="32"/>
        </w:rPr>
        <w:t>万元</w:t>
      </w:r>
      <w:r>
        <w:rPr>
          <w:rFonts w:hint="eastAsia" w:ascii="宋体" w:eastAsia="宋体"/>
          <w:color w:val="auto"/>
          <w:sz w:val="32"/>
          <w:szCs w:val="32"/>
        </w:rPr>
        <w:t>，</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100.47</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w:t>
      </w:r>
      <w:r>
        <w:rPr>
          <w:rFonts w:hint="eastAsia" w:ascii="宋体" w:eastAsia="宋体"/>
          <w:color w:val="auto"/>
          <w:sz w:val="32"/>
          <w:szCs w:val="32"/>
        </w:rPr>
        <w:t>决算数</w:t>
      </w:r>
      <w:r>
        <w:rPr>
          <w:rFonts w:hint="eastAsia" w:ascii="宋体" w:eastAsia="宋体"/>
          <w:sz w:val="32"/>
          <w:szCs w:val="32"/>
        </w:rPr>
        <w:t>大于年初预算数的主要原因是</w:t>
      </w:r>
      <w:r>
        <w:rPr>
          <w:rFonts w:hint="eastAsia" w:ascii="宋体" w:eastAsia="宋体"/>
          <w:sz w:val="32"/>
          <w:szCs w:val="32"/>
          <w:lang w:eastAsia="zh-CN"/>
        </w:rPr>
        <w:t>：人员变动引起相应养老保险缴费变动。</w:t>
      </w:r>
    </w:p>
    <w:p>
      <w:pPr>
        <w:pStyle w:val="9"/>
        <w:ind w:firstLine="800" w:firstLineChars="250"/>
        <w:rPr>
          <w:rFonts w:hint="eastAsia" w:ascii="宋体" w:eastAsia="宋体"/>
          <w:sz w:val="32"/>
          <w:szCs w:val="32"/>
        </w:rPr>
      </w:pPr>
      <w:r>
        <w:rPr>
          <w:rFonts w:hint="eastAsia" w:ascii="宋体" w:eastAsia="宋体"/>
          <w:sz w:val="32"/>
          <w:szCs w:val="32"/>
        </w:rPr>
        <w:t>2</w:t>
      </w:r>
      <w:r>
        <w:rPr>
          <w:rFonts w:hint="eastAsia" w:ascii="宋体" w:eastAsia="宋体"/>
          <w:sz w:val="32"/>
          <w:szCs w:val="32"/>
          <w:lang w:val="en-US" w:eastAsia="zh-CN"/>
        </w:rPr>
        <w:t>5</w:t>
      </w:r>
      <w:r>
        <w:rPr>
          <w:rFonts w:hint="eastAsia" w:ascii="宋体" w:eastAsia="宋体"/>
          <w:sz w:val="32"/>
          <w:szCs w:val="32"/>
        </w:rPr>
        <w:t>、社会保障和就业支出（类）抚恤（款）死亡抚恤（项）。</w:t>
      </w:r>
    </w:p>
    <w:p>
      <w:pPr>
        <w:pStyle w:val="9"/>
        <w:ind w:firstLine="800" w:firstLineChars="250"/>
        <w:rPr>
          <w:rFonts w:hint="eastAsia" w:ascii="宋体" w:eastAsia="宋体"/>
          <w:sz w:val="32"/>
          <w:szCs w:val="32"/>
        </w:rPr>
      </w:pPr>
      <w:r>
        <w:rPr>
          <w:rFonts w:hint="eastAsia" w:ascii="宋体" w:eastAsia="宋体"/>
          <w:sz w:val="32"/>
          <w:szCs w:val="32"/>
        </w:rPr>
        <w:t>年初预算为0万元，支出决算为</w:t>
      </w:r>
      <w:r>
        <w:rPr>
          <w:rFonts w:hint="eastAsia" w:ascii="宋体" w:eastAsia="宋体"/>
          <w:sz w:val="32"/>
          <w:szCs w:val="32"/>
          <w:lang w:val="en-US" w:eastAsia="zh-CN"/>
        </w:rPr>
        <w:t>38.32</w:t>
      </w:r>
      <w:r>
        <w:rPr>
          <w:rFonts w:hint="eastAsia" w:ascii="宋体" w:eastAsia="宋体"/>
          <w:sz w:val="32"/>
          <w:szCs w:val="32"/>
        </w:rPr>
        <w:t>万元，决算数大于年初预算数的主要原因是：财政追加</w:t>
      </w:r>
      <w:r>
        <w:rPr>
          <w:rFonts w:hint="eastAsia" w:ascii="宋体" w:eastAsia="宋体"/>
          <w:sz w:val="32"/>
          <w:szCs w:val="32"/>
          <w:lang w:val="en-US" w:eastAsia="zh-CN"/>
        </w:rPr>
        <w:t>2</w:t>
      </w:r>
      <w:r>
        <w:rPr>
          <w:rFonts w:hint="eastAsia" w:ascii="宋体" w:eastAsia="宋体"/>
          <w:sz w:val="32"/>
          <w:szCs w:val="32"/>
        </w:rPr>
        <w:t>人</w:t>
      </w:r>
      <w:r>
        <w:rPr>
          <w:rFonts w:hint="eastAsia" w:ascii="宋体" w:eastAsia="宋体"/>
          <w:color w:val="auto"/>
          <w:sz w:val="32"/>
          <w:szCs w:val="32"/>
        </w:rPr>
        <w:t>死亡抚恤经费拨款</w:t>
      </w:r>
      <w:r>
        <w:rPr>
          <w:rFonts w:hint="eastAsia" w:ascii="宋体" w:eastAsia="宋体"/>
          <w:sz w:val="32"/>
          <w:szCs w:val="32"/>
        </w:rPr>
        <w:t>。</w:t>
      </w:r>
    </w:p>
    <w:p>
      <w:pPr>
        <w:pStyle w:val="9"/>
        <w:ind w:firstLine="800" w:firstLineChars="250"/>
        <w:rPr>
          <w:rFonts w:hint="eastAsia" w:ascii="宋体" w:eastAsia="宋体"/>
          <w:sz w:val="32"/>
          <w:szCs w:val="32"/>
        </w:rPr>
      </w:pPr>
      <w:r>
        <w:rPr>
          <w:rFonts w:hint="eastAsia" w:ascii="宋体" w:eastAsia="宋体"/>
          <w:sz w:val="32"/>
          <w:szCs w:val="32"/>
        </w:rPr>
        <w:t>2</w:t>
      </w:r>
      <w:r>
        <w:rPr>
          <w:rFonts w:hint="eastAsia" w:ascii="宋体" w:eastAsia="宋体"/>
          <w:sz w:val="32"/>
          <w:szCs w:val="32"/>
          <w:lang w:val="en-US" w:eastAsia="zh-CN"/>
        </w:rPr>
        <w:t>6</w:t>
      </w:r>
      <w:r>
        <w:rPr>
          <w:rFonts w:hint="eastAsia" w:ascii="宋体" w:eastAsia="宋体"/>
          <w:sz w:val="32"/>
          <w:szCs w:val="32"/>
        </w:rPr>
        <w:t>、社会保障和就业支出（类）抚恤（款）伤残抚恤（项）。</w:t>
      </w:r>
    </w:p>
    <w:p>
      <w:pPr>
        <w:pStyle w:val="9"/>
        <w:ind w:firstLine="800" w:firstLineChars="250"/>
        <w:rPr>
          <w:rFonts w:hint="eastAsia" w:ascii="宋体" w:eastAsia="宋体"/>
          <w:sz w:val="32"/>
          <w:szCs w:val="32"/>
        </w:rPr>
      </w:pPr>
      <w:r>
        <w:rPr>
          <w:rFonts w:hint="eastAsia" w:ascii="宋体" w:eastAsia="宋体"/>
          <w:sz w:val="32"/>
          <w:szCs w:val="32"/>
        </w:rPr>
        <w:t>年初预算为0万元，支出决算为</w:t>
      </w:r>
      <w:r>
        <w:rPr>
          <w:rFonts w:hint="eastAsia" w:ascii="宋体" w:eastAsia="宋体"/>
          <w:sz w:val="32"/>
          <w:szCs w:val="32"/>
          <w:lang w:val="en-US" w:eastAsia="zh-CN"/>
        </w:rPr>
        <w:t>6.0</w:t>
      </w:r>
      <w:r>
        <w:rPr>
          <w:rFonts w:hint="eastAsia" w:ascii="宋体" w:eastAsia="宋体"/>
          <w:sz w:val="32"/>
          <w:szCs w:val="32"/>
        </w:rPr>
        <w:t>万元，决算数大于年初预算数的主要原因是：财政追加</w:t>
      </w:r>
      <w:r>
        <w:rPr>
          <w:rFonts w:hint="eastAsia" w:ascii="宋体" w:eastAsia="宋体"/>
          <w:sz w:val="32"/>
          <w:szCs w:val="32"/>
          <w:lang w:val="en-US" w:eastAsia="zh-CN"/>
        </w:rPr>
        <w:t>3</w:t>
      </w:r>
      <w:r>
        <w:rPr>
          <w:rFonts w:hint="eastAsia" w:ascii="宋体" w:eastAsia="宋体"/>
          <w:sz w:val="32"/>
          <w:szCs w:val="32"/>
        </w:rPr>
        <w:t xml:space="preserve">人伤残抚恤经费拨款。 </w:t>
      </w:r>
    </w:p>
    <w:p>
      <w:pPr>
        <w:pStyle w:val="9"/>
        <w:ind w:firstLine="800" w:firstLineChars="250"/>
        <w:rPr>
          <w:rFonts w:hint="eastAsia" w:ascii="宋体" w:eastAsia="宋体"/>
          <w:sz w:val="32"/>
          <w:szCs w:val="32"/>
        </w:rPr>
      </w:pPr>
      <w:r>
        <w:rPr>
          <w:rFonts w:hint="eastAsia" w:ascii="宋体" w:eastAsia="宋体"/>
          <w:sz w:val="32"/>
          <w:szCs w:val="32"/>
        </w:rPr>
        <w:t>2</w:t>
      </w:r>
      <w:r>
        <w:rPr>
          <w:rFonts w:hint="eastAsia" w:ascii="宋体" w:eastAsia="宋体"/>
          <w:sz w:val="32"/>
          <w:szCs w:val="32"/>
          <w:lang w:val="en-US" w:eastAsia="zh-CN"/>
        </w:rPr>
        <w:t>7</w:t>
      </w:r>
      <w:r>
        <w:rPr>
          <w:rFonts w:hint="eastAsia" w:ascii="宋体" w:eastAsia="宋体"/>
          <w:sz w:val="32"/>
          <w:szCs w:val="32"/>
        </w:rPr>
        <w:t>、</w:t>
      </w:r>
      <w:r>
        <w:rPr>
          <w:rFonts w:hint="eastAsia" w:ascii="宋体" w:eastAsia="宋体"/>
          <w:sz w:val="32"/>
          <w:szCs w:val="32"/>
          <w:lang w:eastAsia="zh-CN"/>
        </w:rPr>
        <w:t>卫生健康</w:t>
      </w:r>
      <w:r>
        <w:rPr>
          <w:rFonts w:hint="eastAsia" w:ascii="宋体" w:eastAsia="宋体"/>
          <w:sz w:val="32"/>
          <w:szCs w:val="32"/>
        </w:rPr>
        <w:t>支出（类）</w:t>
      </w:r>
      <w:r>
        <w:rPr>
          <w:rFonts w:hint="eastAsia" w:ascii="宋体" w:eastAsia="宋体"/>
          <w:sz w:val="32"/>
          <w:szCs w:val="32"/>
          <w:lang w:eastAsia="zh-CN"/>
        </w:rPr>
        <w:t>行政事业单位医疗</w:t>
      </w:r>
      <w:r>
        <w:rPr>
          <w:rFonts w:hint="eastAsia" w:ascii="宋体" w:eastAsia="宋体"/>
          <w:sz w:val="32"/>
          <w:szCs w:val="32"/>
        </w:rPr>
        <w:t>（款）</w:t>
      </w:r>
      <w:r>
        <w:rPr>
          <w:rFonts w:hint="eastAsia" w:ascii="宋体" w:eastAsia="宋体"/>
          <w:sz w:val="32"/>
          <w:szCs w:val="32"/>
          <w:lang w:eastAsia="zh-CN"/>
        </w:rPr>
        <w:t>行政单位医疗</w:t>
      </w:r>
      <w:r>
        <w:rPr>
          <w:rFonts w:hint="eastAsia" w:ascii="宋体" w:eastAsia="宋体"/>
          <w:sz w:val="32"/>
          <w:szCs w:val="32"/>
        </w:rPr>
        <w:t>（项）。</w:t>
      </w:r>
    </w:p>
    <w:p>
      <w:pPr>
        <w:pStyle w:val="9"/>
        <w:ind w:firstLine="800" w:firstLineChars="250"/>
        <w:rPr>
          <w:rFonts w:hint="eastAsia" w:ascii="宋体" w:eastAsia="宋体"/>
          <w:sz w:val="32"/>
          <w:szCs w:val="32"/>
        </w:rPr>
      </w:pPr>
      <w:r>
        <w:rPr>
          <w:rFonts w:hint="eastAsia" w:ascii="宋体" w:eastAsia="宋体"/>
          <w:sz w:val="32"/>
          <w:szCs w:val="32"/>
        </w:rPr>
        <w:t>年初预算为</w:t>
      </w:r>
      <w:r>
        <w:rPr>
          <w:rFonts w:hint="eastAsia" w:ascii="宋体" w:eastAsia="宋体"/>
          <w:sz w:val="32"/>
          <w:szCs w:val="32"/>
          <w:lang w:val="en-US" w:eastAsia="zh-CN"/>
        </w:rPr>
        <w:t>118.43</w:t>
      </w:r>
      <w:r>
        <w:rPr>
          <w:rFonts w:hint="eastAsia" w:ascii="宋体" w:eastAsia="宋体"/>
          <w:sz w:val="32"/>
          <w:szCs w:val="32"/>
        </w:rPr>
        <w:t>万元，支出决算为</w:t>
      </w:r>
      <w:r>
        <w:rPr>
          <w:rFonts w:hint="eastAsia" w:ascii="宋体" w:eastAsia="宋体"/>
          <w:sz w:val="32"/>
          <w:szCs w:val="32"/>
          <w:lang w:val="en-US" w:eastAsia="zh-CN"/>
        </w:rPr>
        <w:t>120.61</w:t>
      </w:r>
      <w:r>
        <w:rPr>
          <w:rFonts w:hint="eastAsia" w:ascii="宋体" w:eastAsia="宋体"/>
          <w:sz w:val="32"/>
          <w:szCs w:val="32"/>
        </w:rPr>
        <w:t>万元，</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101.84</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hint="eastAsia" w:ascii="宋体" w:eastAsia="宋体"/>
          <w:sz w:val="32"/>
          <w:szCs w:val="32"/>
        </w:rPr>
        <w:t>决算数大于年初预算数的主要原因是：</w:t>
      </w:r>
      <w:r>
        <w:rPr>
          <w:rFonts w:hint="eastAsia" w:ascii="宋体" w:eastAsia="宋体"/>
          <w:sz w:val="32"/>
          <w:szCs w:val="32"/>
          <w:lang w:eastAsia="zh-CN"/>
        </w:rPr>
        <w:t>人员变动引起相应医疗保险缴费变动</w:t>
      </w:r>
      <w:r>
        <w:rPr>
          <w:rFonts w:hint="eastAsia" w:ascii="宋体" w:eastAsia="宋体"/>
          <w:sz w:val="32"/>
          <w:szCs w:val="32"/>
        </w:rPr>
        <w:t>。</w:t>
      </w:r>
    </w:p>
    <w:p>
      <w:pPr>
        <w:pStyle w:val="9"/>
        <w:ind w:firstLine="800" w:firstLineChars="250"/>
        <w:rPr>
          <w:rFonts w:hint="eastAsia" w:ascii="宋体" w:eastAsia="宋体"/>
          <w:sz w:val="32"/>
          <w:szCs w:val="32"/>
        </w:rPr>
      </w:pPr>
      <w:r>
        <w:rPr>
          <w:rFonts w:hint="eastAsia" w:ascii="宋体" w:eastAsia="宋体"/>
          <w:sz w:val="32"/>
          <w:szCs w:val="32"/>
        </w:rPr>
        <w:t>2</w:t>
      </w:r>
      <w:r>
        <w:rPr>
          <w:rFonts w:hint="eastAsia" w:ascii="宋体" w:eastAsia="宋体"/>
          <w:sz w:val="32"/>
          <w:szCs w:val="32"/>
          <w:lang w:val="en-US" w:eastAsia="zh-CN"/>
        </w:rPr>
        <w:t>8</w:t>
      </w:r>
      <w:r>
        <w:rPr>
          <w:rFonts w:hint="eastAsia" w:ascii="宋体" w:eastAsia="宋体"/>
          <w:sz w:val="32"/>
          <w:szCs w:val="32"/>
        </w:rPr>
        <w:t>、</w:t>
      </w:r>
      <w:r>
        <w:rPr>
          <w:rFonts w:hint="eastAsia" w:ascii="宋体" w:eastAsia="宋体"/>
          <w:sz w:val="32"/>
          <w:szCs w:val="32"/>
          <w:lang w:eastAsia="zh-CN"/>
        </w:rPr>
        <w:t>卫生健康</w:t>
      </w:r>
      <w:r>
        <w:rPr>
          <w:rFonts w:hint="eastAsia" w:ascii="宋体" w:eastAsia="宋体"/>
          <w:sz w:val="32"/>
          <w:szCs w:val="32"/>
        </w:rPr>
        <w:t>支出（类）</w:t>
      </w:r>
      <w:r>
        <w:rPr>
          <w:rFonts w:hint="eastAsia" w:ascii="宋体" w:eastAsia="宋体"/>
          <w:sz w:val="32"/>
          <w:szCs w:val="32"/>
          <w:lang w:eastAsia="zh-CN"/>
        </w:rPr>
        <w:t>行政事业单位医疗</w:t>
      </w:r>
      <w:r>
        <w:rPr>
          <w:rFonts w:hint="eastAsia" w:ascii="宋体" w:eastAsia="宋体"/>
          <w:sz w:val="32"/>
          <w:szCs w:val="32"/>
        </w:rPr>
        <w:t>（款）</w:t>
      </w:r>
      <w:r>
        <w:rPr>
          <w:rFonts w:hint="eastAsia" w:ascii="宋体" w:eastAsia="宋体"/>
          <w:sz w:val="32"/>
          <w:szCs w:val="32"/>
          <w:lang w:eastAsia="zh-CN"/>
        </w:rPr>
        <w:t>事业单位医疗</w:t>
      </w:r>
      <w:r>
        <w:rPr>
          <w:rFonts w:hint="eastAsia" w:ascii="宋体" w:eastAsia="宋体"/>
          <w:sz w:val="32"/>
          <w:szCs w:val="32"/>
        </w:rPr>
        <w:t>（项）。</w:t>
      </w:r>
    </w:p>
    <w:p>
      <w:pPr>
        <w:pStyle w:val="9"/>
        <w:ind w:firstLine="800" w:firstLineChars="250"/>
        <w:rPr>
          <w:rFonts w:hint="eastAsia" w:ascii="宋体" w:eastAsia="宋体"/>
          <w:sz w:val="32"/>
          <w:szCs w:val="32"/>
        </w:rPr>
      </w:pPr>
      <w:r>
        <w:rPr>
          <w:rFonts w:hint="eastAsia" w:ascii="宋体" w:eastAsia="宋体"/>
          <w:sz w:val="32"/>
          <w:szCs w:val="32"/>
        </w:rPr>
        <w:t>年初预算为</w:t>
      </w:r>
      <w:r>
        <w:rPr>
          <w:rFonts w:hint="eastAsia" w:ascii="宋体" w:eastAsia="宋体"/>
          <w:sz w:val="32"/>
          <w:szCs w:val="32"/>
          <w:lang w:val="en-US" w:eastAsia="zh-CN"/>
        </w:rPr>
        <w:t>6.42</w:t>
      </w:r>
      <w:r>
        <w:rPr>
          <w:rFonts w:hint="eastAsia" w:ascii="宋体" w:eastAsia="宋体"/>
          <w:sz w:val="32"/>
          <w:szCs w:val="32"/>
        </w:rPr>
        <w:t>万元，支出决算为</w:t>
      </w:r>
      <w:r>
        <w:rPr>
          <w:rFonts w:hint="eastAsia" w:ascii="宋体" w:eastAsia="宋体"/>
          <w:sz w:val="32"/>
          <w:szCs w:val="32"/>
          <w:lang w:val="en-US" w:eastAsia="zh-CN"/>
        </w:rPr>
        <w:t>6.42</w:t>
      </w:r>
      <w:r>
        <w:rPr>
          <w:rFonts w:hint="eastAsia" w:ascii="宋体" w:eastAsia="宋体"/>
          <w:sz w:val="32"/>
          <w:szCs w:val="32"/>
        </w:rPr>
        <w:t>万元，</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100</w:t>
      </w:r>
      <w:r>
        <w:rPr>
          <w:rFonts w:ascii="Times New Roman" w:hAnsi="Times New Roman" w:eastAsia="仿宋_GB2312" w:cs="Times New Roman"/>
          <w:color w:val="auto"/>
          <w:sz w:val="32"/>
          <w:szCs w:val="32"/>
        </w:rPr>
        <w:t>%</w:t>
      </w:r>
      <w:r>
        <w:rPr>
          <w:rFonts w:hint="eastAsia" w:ascii="宋体" w:eastAsia="宋体"/>
          <w:sz w:val="32"/>
          <w:szCs w:val="32"/>
        </w:rPr>
        <w:t>。</w:t>
      </w:r>
    </w:p>
    <w:p>
      <w:pPr>
        <w:pStyle w:val="9"/>
        <w:ind w:firstLine="800" w:firstLineChars="250"/>
        <w:rPr>
          <w:rFonts w:hint="eastAsia" w:ascii="宋体" w:eastAsia="宋体"/>
          <w:sz w:val="32"/>
          <w:szCs w:val="32"/>
        </w:rPr>
      </w:pPr>
      <w:r>
        <w:rPr>
          <w:rFonts w:hint="eastAsia" w:ascii="宋体" w:eastAsia="宋体"/>
          <w:sz w:val="32"/>
          <w:szCs w:val="32"/>
        </w:rPr>
        <w:t>2</w:t>
      </w:r>
      <w:r>
        <w:rPr>
          <w:rFonts w:hint="eastAsia" w:ascii="宋体" w:eastAsia="宋体"/>
          <w:sz w:val="32"/>
          <w:szCs w:val="32"/>
          <w:lang w:val="en-US" w:eastAsia="zh-CN"/>
        </w:rPr>
        <w:t>9</w:t>
      </w:r>
      <w:r>
        <w:rPr>
          <w:rFonts w:hint="eastAsia" w:ascii="宋体" w:eastAsia="宋体"/>
          <w:sz w:val="32"/>
          <w:szCs w:val="32"/>
        </w:rPr>
        <w:t>、住房保障支出（类）住房改革支出（款）住房公积金</w:t>
      </w:r>
      <w:r>
        <w:rPr>
          <w:rFonts w:hint="eastAsia" w:ascii="宋体" w:eastAsia="宋体"/>
          <w:sz w:val="32"/>
          <w:szCs w:val="32"/>
          <w:lang w:eastAsia="zh-CN"/>
        </w:rPr>
        <w:t>（</w:t>
      </w:r>
      <w:r>
        <w:rPr>
          <w:rFonts w:hint="eastAsia" w:ascii="宋体" w:eastAsia="宋体"/>
          <w:sz w:val="32"/>
          <w:szCs w:val="32"/>
        </w:rPr>
        <w:t>项）。</w:t>
      </w:r>
    </w:p>
    <w:p>
      <w:pPr>
        <w:pStyle w:val="9"/>
        <w:ind w:firstLine="800" w:firstLineChars="250"/>
        <w:rPr>
          <w:rFonts w:hint="eastAsia" w:ascii="宋体" w:eastAsia="宋体"/>
          <w:sz w:val="32"/>
          <w:szCs w:val="32"/>
        </w:rPr>
      </w:pPr>
      <w:r>
        <w:rPr>
          <w:rFonts w:hint="eastAsia" w:ascii="宋体" w:eastAsia="宋体"/>
          <w:sz w:val="32"/>
          <w:szCs w:val="32"/>
        </w:rPr>
        <w:t>年初预算为</w:t>
      </w:r>
      <w:r>
        <w:rPr>
          <w:rFonts w:hint="eastAsia" w:ascii="宋体" w:eastAsia="宋体"/>
          <w:sz w:val="32"/>
          <w:szCs w:val="32"/>
          <w:lang w:val="en-US" w:eastAsia="zh-CN"/>
        </w:rPr>
        <w:t>214.04</w:t>
      </w:r>
      <w:r>
        <w:rPr>
          <w:rFonts w:hint="eastAsia" w:ascii="宋体" w:eastAsia="宋体"/>
          <w:sz w:val="32"/>
          <w:szCs w:val="32"/>
        </w:rPr>
        <w:t>万元，支出决算为</w:t>
      </w:r>
      <w:r>
        <w:rPr>
          <w:rFonts w:hint="eastAsia" w:ascii="宋体" w:eastAsia="宋体"/>
          <w:sz w:val="32"/>
          <w:szCs w:val="32"/>
          <w:lang w:val="en-US" w:eastAsia="zh-CN"/>
        </w:rPr>
        <w:t>217.78</w:t>
      </w:r>
      <w:r>
        <w:rPr>
          <w:rFonts w:hint="eastAsia" w:ascii="宋体" w:eastAsia="宋体"/>
          <w:sz w:val="32"/>
          <w:szCs w:val="32"/>
        </w:rPr>
        <w:t>万元，</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101.75</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w:t>
      </w:r>
      <w:r>
        <w:rPr>
          <w:rFonts w:hint="eastAsia" w:ascii="宋体" w:eastAsia="宋体"/>
          <w:color w:val="auto"/>
          <w:sz w:val="32"/>
          <w:szCs w:val="32"/>
        </w:rPr>
        <w:t>决算</w:t>
      </w:r>
      <w:r>
        <w:rPr>
          <w:rFonts w:hint="eastAsia" w:ascii="宋体" w:eastAsia="宋体"/>
          <w:sz w:val="32"/>
          <w:szCs w:val="32"/>
        </w:rPr>
        <w:t>数</w:t>
      </w:r>
      <w:r>
        <w:rPr>
          <w:rFonts w:hint="eastAsia" w:ascii="宋体" w:eastAsia="宋体"/>
          <w:sz w:val="32"/>
          <w:szCs w:val="32"/>
          <w:lang w:eastAsia="zh-CN"/>
        </w:rPr>
        <w:t>大</w:t>
      </w:r>
      <w:r>
        <w:rPr>
          <w:rFonts w:hint="eastAsia" w:ascii="宋体" w:eastAsia="宋体"/>
          <w:sz w:val="32"/>
          <w:szCs w:val="32"/>
        </w:rPr>
        <w:t>于年初预算数的主要原因是：</w:t>
      </w:r>
      <w:r>
        <w:rPr>
          <w:rFonts w:hint="eastAsia" w:ascii="宋体" w:eastAsia="宋体"/>
          <w:sz w:val="32"/>
          <w:szCs w:val="32"/>
          <w:lang w:eastAsia="zh-CN"/>
        </w:rPr>
        <w:t>人员变动引起相应住房公积金缴费变动</w:t>
      </w:r>
      <w:r>
        <w:rPr>
          <w:rFonts w:hint="eastAsia" w:ascii="宋体" w:eastAsia="宋体"/>
          <w:sz w:val="32"/>
          <w:szCs w:val="32"/>
        </w:rPr>
        <w:t>。</w:t>
      </w:r>
    </w:p>
    <w:p>
      <w:pPr>
        <w:pStyle w:val="9"/>
        <w:ind w:firstLine="800" w:firstLineChars="250"/>
        <w:rPr>
          <w:rFonts w:hint="eastAsia" w:ascii="宋体" w:eastAsia="宋体"/>
          <w:sz w:val="32"/>
          <w:szCs w:val="32"/>
        </w:rPr>
      </w:pPr>
      <w:r>
        <w:rPr>
          <w:rFonts w:hint="eastAsia" w:ascii="宋体" w:eastAsia="宋体"/>
          <w:sz w:val="32"/>
          <w:szCs w:val="32"/>
          <w:lang w:val="en-US" w:eastAsia="zh-CN"/>
        </w:rPr>
        <w:t>30、</w:t>
      </w:r>
      <w:r>
        <w:rPr>
          <w:rFonts w:hint="eastAsia" w:ascii="宋体" w:eastAsia="宋体"/>
          <w:sz w:val="32"/>
          <w:szCs w:val="32"/>
          <w:lang w:eastAsia="zh-CN"/>
        </w:rPr>
        <w:t>其他</w:t>
      </w:r>
      <w:r>
        <w:rPr>
          <w:rFonts w:hint="eastAsia" w:ascii="宋体" w:eastAsia="宋体"/>
          <w:sz w:val="32"/>
          <w:szCs w:val="32"/>
        </w:rPr>
        <w:t>支出（类）</w:t>
      </w:r>
      <w:r>
        <w:rPr>
          <w:rFonts w:hint="eastAsia" w:ascii="宋体" w:eastAsia="宋体"/>
          <w:sz w:val="32"/>
          <w:szCs w:val="32"/>
          <w:lang w:eastAsia="zh-CN"/>
        </w:rPr>
        <w:t>其他</w:t>
      </w:r>
      <w:r>
        <w:rPr>
          <w:rFonts w:hint="eastAsia" w:ascii="宋体" w:eastAsia="宋体"/>
          <w:sz w:val="32"/>
          <w:szCs w:val="32"/>
        </w:rPr>
        <w:t>支出（款）</w:t>
      </w:r>
      <w:r>
        <w:rPr>
          <w:rFonts w:hint="eastAsia" w:ascii="宋体" w:eastAsia="宋体"/>
          <w:sz w:val="32"/>
          <w:szCs w:val="32"/>
          <w:lang w:eastAsia="zh-CN"/>
        </w:rPr>
        <w:t>其他（</w:t>
      </w:r>
      <w:r>
        <w:rPr>
          <w:rFonts w:hint="eastAsia" w:ascii="宋体" w:eastAsia="宋体"/>
          <w:sz w:val="32"/>
          <w:szCs w:val="32"/>
        </w:rPr>
        <w:t>项）。</w:t>
      </w:r>
    </w:p>
    <w:p>
      <w:pPr>
        <w:pStyle w:val="9"/>
        <w:ind w:firstLine="800" w:firstLineChars="250"/>
        <w:rPr>
          <w:rFonts w:hint="eastAsia" w:ascii="宋体" w:eastAsia="宋体"/>
          <w:sz w:val="32"/>
          <w:szCs w:val="32"/>
          <w:lang w:val="en-US" w:eastAsia="zh-CN"/>
        </w:rPr>
      </w:pPr>
      <w:r>
        <w:rPr>
          <w:rFonts w:hint="eastAsia" w:ascii="宋体" w:eastAsia="宋体"/>
          <w:sz w:val="32"/>
          <w:szCs w:val="32"/>
        </w:rPr>
        <w:t>年初预算为</w:t>
      </w:r>
      <w:r>
        <w:rPr>
          <w:rFonts w:hint="eastAsia" w:ascii="宋体" w:eastAsia="宋体"/>
          <w:sz w:val="32"/>
          <w:szCs w:val="32"/>
          <w:lang w:val="en-US" w:eastAsia="zh-CN"/>
        </w:rPr>
        <w:t>0</w:t>
      </w:r>
      <w:r>
        <w:rPr>
          <w:rFonts w:hint="eastAsia" w:ascii="宋体" w:eastAsia="宋体"/>
          <w:sz w:val="32"/>
          <w:szCs w:val="32"/>
        </w:rPr>
        <w:t>万元，支出决算为</w:t>
      </w:r>
      <w:r>
        <w:rPr>
          <w:rFonts w:hint="eastAsia" w:ascii="宋体" w:eastAsia="宋体"/>
          <w:sz w:val="32"/>
          <w:szCs w:val="32"/>
          <w:lang w:val="en-US" w:eastAsia="zh-CN"/>
        </w:rPr>
        <w:t>5</w:t>
      </w:r>
      <w:r>
        <w:rPr>
          <w:rFonts w:hint="eastAsia" w:ascii="宋体" w:eastAsia="宋体"/>
          <w:sz w:val="32"/>
          <w:szCs w:val="32"/>
        </w:rPr>
        <w:t>万元，</w:t>
      </w:r>
      <w:r>
        <w:rPr>
          <w:rFonts w:hint="eastAsia" w:ascii="宋体" w:eastAsia="宋体"/>
          <w:color w:val="auto"/>
          <w:sz w:val="32"/>
          <w:szCs w:val="32"/>
        </w:rPr>
        <w:t>决算</w:t>
      </w:r>
      <w:r>
        <w:rPr>
          <w:rFonts w:hint="eastAsia" w:ascii="宋体" w:eastAsia="宋体"/>
          <w:sz w:val="32"/>
          <w:szCs w:val="32"/>
        </w:rPr>
        <w:t>数</w:t>
      </w:r>
      <w:r>
        <w:rPr>
          <w:rFonts w:hint="eastAsia" w:ascii="宋体" w:eastAsia="宋体"/>
          <w:sz w:val="32"/>
          <w:szCs w:val="32"/>
          <w:lang w:eastAsia="zh-CN"/>
        </w:rPr>
        <w:t>大</w:t>
      </w:r>
      <w:r>
        <w:rPr>
          <w:rFonts w:hint="eastAsia" w:ascii="宋体" w:eastAsia="宋体"/>
          <w:sz w:val="32"/>
          <w:szCs w:val="32"/>
        </w:rPr>
        <w:t>于年初预算数的主要原因是：</w:t>
      </w:r>
      <w:r>
        <w:rPr>
          <w:rFonts w:hint="eastAsia" w:ascii="宋体" w:eastAsia="宋体"/>
          <w:sz w:val="32"/>
          <w:szCs w:val="32"/>
          <w:lang w:eastAsia="zh-CN"/>
        </w:rPr>
        <w:t>财政追加原商务执法支队执法工作经费。</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hint="eastAsia" w:ascii="宋体" w:eastAsia="宋体"/>
          <w:sz w:val="32"/>
          <w:szCs w:val="32"/>
        </w:rPr>
      </w:pPr>
      <w:r>
        <w:rPr>
          <w:rFonts w:hint="eastAsia" w:asciiTheme="minorEastAsia" w:hAnsiTheme="minorEastAsia" w:eastAsiaTheme="minorEastAsia"/>
          <w:sz w:val="32"/>
          <w:szCs w:val="32"/>
        </w:rPr>
        <w:t>2020年度财政拨款基本支出</w:t>
      </w:r>
      <w:r>
        <w:rPr>
          <w:rFonts w:hint="eastAsia" w:asciiTheme="minorEastAsia" w:hAnsiTheme="minorEastAsia" w:eastAsiaTheme="minorEastAsia"/>
          <w:sz w:val="32"/>
          <w:szCs w:val="32"/>
          <w:lang w:val="en-US" w:eastAsia="zh-CN"/>
        </w:rPr>
        <w:t>4430.32</w:t>
      </w:r>
      <w:r>
        <w:rPr>
          <w:rFonts w:hint="eastAsia" w:asciiTheme="minorEastAsia" w:hAnsiTheme="minorEastAsia" w:eastAsiaTheme="minorEastAsia"/>
          <w:sz w:val="32"/>
          <w:szCs w:val="32"/>
        </w:rPr>
        <w:t>万元，其中：</w:t>
      </w:r>
      <w:r>
        <w:rPr>
          <w:rFonts w:hint="eastAsia" w:ascii="宋体" w:eastAsia="宋体"/>
          <w:sz w:val="32"/>
          <w:szCs w:val="32"/>
        </w:rPr>
        <w:t>其中：人员经费</w:t>
      </w:r>
      <w:r>
        <w:rPr>
          <w:rFonts w:hint="eastAsia" w:ascii="宋体" w:eastAsia="宋体"/>
          <w:sz w:val="32"/>
          <w:szCs w:val="32"/>
          <w:lang w:val="en-US" w:eastAsia="zh-CN"/>
        </w:rPr>
        <w:t>3713.38</w:t>
      </w:r>
      <w:r>
        <w:rPr>
          <w:rFonts w:hint="eastAsia" w:ascii="宋体" w:eastAsia="宋体"/>
          <w:sz w:val="32"/>
          <w:szCs w:val="32"/>
        </w:rPr>
        <w:t>万元，占基本支出的8</w:t>
      </w:r>
      <w:r>
        <w:rPr>
          <w:rFonts w:hint="eastAsia" w:ascii="宋体" w:eastAsia="宋体"/>
          <w:sz w:val="32"/>
          <w:szCs w:val="32"/>
          <w:lang w:val="en-US" w:eastAsia="zh-CN"/>
        </w:rPr>
        <w:t>3.82</w:t>
      </w:r>
      <w:r>
        <w:rPr>
          <w:rFonts w:hint="eastAsia" w:ascii="宋体" w:eastAsia="宋体"/>
          <w:sz w:val="32"/>
          <w:szCs w:val="32"/>
        </w:rPr>
        <w:t>%,主要包括基本工资、津贴补贴、奖金、伙食补助费、绩效工资、机关事业单位基本养老保险缴费、职工基本医疗保险缴费、其他社会保障缴费、住房公积金、其他工资福利支出、抚恤金、奖励金、其他对个人和家庭的补助等；公用经费</w:t>
      </w:r>
      <w:r>
        <w:rPr>
          <w:rFonts w:hint="eastAsia" w:ascii="宋体" w:eastAsia="宋体"/>
          <w:sz w:val="32"/>
          <w:szCs w:val="32"/>
          <w:lang w:val="en-US" w:eastAsia="zh-CN"/>
        </w:rPr>
        <w:t>716.94</w:t>
      </w:r>
      <w:r>
        <w:rPr>
          <w:rFonts w:hint="eastAsia" w:ascii="宋体" w:eastAsia="宋体"/>
          <w:sz w:val="32"/>
          <w:szCs w:val="32"/>
        </w:rPr>
        <w:t>万元，占基本支出的1</w:t>
      </w:r>
      <w:r>
        <w:rPr>
          <w:rFonts w:hint="eastAsia" w:ascii="宋体" w:eastAsia="宋体"/>
          <w:sz w:val="32"/>
          <w:szCs w:val="32"/>
          <w:lang w:val="en-US" w:eastAsia="zh-CN"/>
        </w:rPr>
        <w:t>6.18</w:t>
      </w:r>
      <w:r>
        <w:rPr>
          <w:rFonts w:hint="eastAsia" w:ascii="宋体" w:eastAsia="宋体"/>
          <w:sz w:val="32"/>
          <w:szCs w:val="32"/>
        </w:rPr>
        <w:t>%，主要包括办公费、印刷费、手续费、水费、电费、物业管理费、差旅费、维修费、租赁费、会议费、培训费、公务接待费、专用材料费、劳务费、委托业务费、工会经费、福利费、公务用车运行维护费、其他交通费用、其他商品和服务支出。</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150.70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40.94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27.17</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万元，与上年</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83.70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12.73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15.21</w:t>
      </w:r>
      <w:r>
        <w:rPr>
          <w:rFonts w:hint="eastAsia" w:asciiTheme="minorEastAsia" w:hAnsiTheme="minorEastAsia" w:eastAsiaTheme="minorEastAsia"/>
          <w:sz w:val="32"/>
          <w:szCs w:val="32"/>
        </w:rPr>
        <w:t>%，决算数小于</w:t>
      </w:r>
      <w:r>
        <w:rPr>
          <w:rFonts w:hint="eastAsia" w:asciiTheme="minorEastAsia" w:hAnsiTheme="minorEastAsia" w:eastAsiaTheme="minorEastAsia"/>
          <w:sz w:val="32"/>
          <w:szCs w:val="32"/>
          <w:lang w:val="en-US" w:eastAsia="zh-CN"/>
        </w:rPr>
        <w:t>年初</w:t>
      </w:r>
      <w:r>
        <w:rPr>
          <w:rFonts w:hint="eastAsia" w:asciiTheme="minorEastAsia" w:hAnsiTheme="minorEastAsia" w:eastAsiaTheme="minorEastAsia"/>
          <w:sz w:val="32"/>
          <w:szCs w:val="32"/>
        </w:rPr>
        <w:t>预算数的主要原因是</w:t>
      </w:r>
      <w:r>
        <w:rPr>
          <w:rFonts w:hint="eastAsia" w:ascii="宋体" w:eastAsia="宋体"/>
          <w:sz w:val="32"/>
          <w:szCs w:val="32"/>
        </w:rPr>
        <w:t>严格遵照中央“八项规定”和财经纪律，</w:t>
      </w:r>
      <w:r>
        <w:rPr>
          <w:rFonts w:hint="eastAsia" w:ascii="宋体" w:eastAsia="宋体"/>
          <w:sz w:val="32"/>
          <w:szCs w:val="32"/>
          <w:lang w:eastAsia="zh-CN"/>
        </w:rPr>
        <w:t>严格控制</w:t>
      </w:r>
      <w:r>
        <w:rPr>
          <w:rFonts w:hint="eastAsia" w:ascii="宋体" w:eastAsia="宋体"/>
          <w:sz w:val="32"/>
          <w:szCs w:val="32"/>
        </w:rPr>
        <w:t>接待人次</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3.15</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32.88</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eastAsia="zh-CN"/>
        </w:rPr>
        <w:t>本年新合并进</w:t>
      </w:r>
      <w:r>
        <w:rPr>
          <w:rFonts w:hint="eastAsia" w:asciiTheme="minorEastAsia" w:hAnsiTheme="minorEastAsia" w:eastAsiaTheme="minorEastAsia"/>
          <w:sz w:val="32"/>
          <w:szCs w:val="32"/>
          <w:lang w:val="en-US" w:eastAsia="zh-CN"/>
        </w:rPr>
        <w:t>3个单位，省局、县市局来人接待人次略有增加</w:t>
      </w:r>
      <w:r>
        <w:rPr>
          <w:rFonts w:hint="eastAsia" w:asciiTheme="minorEastAsia" w:hAnsiTheme="minorEastAsia" w:eastAsiaTheme="minorEastAsia"/>
          <w:sz w:val="32"/>
          <w:szCs w:val="32"/>
        </w:rPr>
        <w:t>。</w:t>
      </w:r>
    </w:p>
    <w:p>
      <w:pPr>
        <w:pStyle w:val="9"/>
        <w:ind w:firstLine="640" w:firstLineChars="200"/>
        <w:rPr>
          <w:rFonts w:hint="eastAsia" w:eastAsia="宋体" w:asciiTheme="minorEastAsia" w:hAnsiTheme="minorEastAsia"/>
          <w:sz w:val="32"/>
          <w:szCs w:val="32"/>
          <w:lang w:eastAsia="zh-CN"/>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67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28.21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42.10</w:t>
      </w:r>
      <w:r>
        <w:rPr>
          <w:rFonts w:hint="eastAsia" w:asciiTheme="minorEastAsia" w:hAnsiTheme="minorEastAsia" w:eastAsiaTheme="minorEastAsia"/>
          <w:sz w:val="32"/>
          <w:szCs w:val="32"/>
        </w:rPr>
        <w:t>%，决算数小于</w:t>
      </w:r>
      <w:r>
        <w:rPr>
          <w:rFonts w:hint="eastAsia" w:asciiTheme="minorEastAsia" w:hAnsiTheme="minorEastAsia" w:eastAsiaTheme="minorEastAsia"/>
          <w:sz w:val="32"/>
          <w:szCs w:val="32"/>
          <w:lang w:val="en-US" w:eastAsia="zh-CN"/>
        </w:rPr>
        <w:t>年初</w:t>
      </w:r>
      <w:r>
        <w:rPr>
          <w:rFonts w:hint="eastAsia" w:asciiTheme="minorEastAsia" w:hAnsiTheme="minorEastAsia" w:eastAsiaTheme="minorEastAsia"/>
          <w:sz w:val="32"/>
          <w:szCs w:val="32"/>
        </w:rPr>
        <w:t>预算数的主要原因是</w:t>
      </w:r>
      <w:r>
        <w:rPr>
          <w:rFonts w:hint="eastAsia" w:ascii="宋体" w:eastAsia="宋体"/>
          <w:sz w:val="32"/>
          <w:szCs w:val="32"/>
        </w:rPr>
        <w:t>新车维修费减少</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27.85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49.68</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w:t>
      </w:r>
      <w:r>
        <w:rPr>
          <w:rFonts w:hint="eastAsia" w:ascii="宋体" w:eastAsia="宋体"/>
          <w:sz w:val="32"/>
          <w:szCs w:val="32"/>
        </w:rPr>
        <w:t>新车维修费减少</w:t>
      </w:r>
      <w:r>
        <w:rPr>
          <w:rFonts w:hint="eastAsia" w:ascii="宋体" w:eastAsia="宋体"/>
          <w:sz w:val="32"/>
          <w:szCs w:val="32"/>
          <w:lang w:eastAsia="zh-CN"/>
        </w:rPr>
        <w:t>。</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12.73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31.09</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28.21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68.91</w:t>
      </w:r>
      <w:r>
        <w:rPr>
          <w:rFonts w:hint="eastAsia" w:asciiTheme="minorEastAsia" w:hAnsiTheme="minorEastAsia" w:eastAsiaTheme="minorEastAsia"/>
          <w:sz w:val="32"/>
          <w:szCs w:val="32"/>
        </w:rPr>
        <w:t>%。其中：</w:t>
      </w:r>
    </w:p>
    <w:p>
      <w:pPr>
        <w:pStyle w:val="9"/>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12.73</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89</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1060</w:t>
      </w:r>
      <w:r>
        <w:rPr>
          <w:rFonts w:hint="eastAsia" w:asciiTheme="minorEastAsia" w:hAnsiTheme="minorEastAsia" w:eastAsiaTheme="minorEastAsia"/>
          <w:sz w:val="32"/>
          <w:szCs w:val="32"/>
        </w:rPr>
        <w:t>人次，主要是</w:t>
      </w:r>
      <w:r>
        <w:rPr>
          <w:rFonts w:hint="eastAsia" w:ascii="宋体" w:eastAsia="宋体"/>
          <w:sz w:val="32"/>
          <w:szCs w:val="32"/>
        </w:rPr>
        <w:t>主要是省局及其他地区等来人检查等发生的接待支出</w:t>
      </w:r>
      <w:r>
        <w:rPr>
          <w:rFonts w:hint="eastAsia" w:asciiTheme="minorEastAsia" w:hAnsiTheme="minorEastAsia" w:eastAsiaTheme="minorEastAsia"/>
          <w:sz w:val="32"/>
          <w:szCs w:val="32"/>
        </w:rPr>
        <w:t>。</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28.21</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w:t>
      </w:r>
      <w:r>
        <w:rPr>
          <w:rFonts w:hint="eastAsia" w:asciiTheme="minorEastAsia" w:hAnsiTheme="minorEastAsia"/>
          <w:sz w:val="32"/>
          <w:szCs w:val="32"/>
        </w:rPr>
        <w:t>单位本级更新公务用车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28.21</w:t>
      </w:r>
      <w:r>
        <w:rPr>
          <w:rFonts w:hint="eastAsia" w:asciiTheme="minorEastAsia" w:hAnsiTheme="minorEastAsia"/>
          <w:sz w:val="32"/>
          <w:szCs w:val="32"/>
        </w:rPr>
        <w:t>万元，主要是</w:t>
      </w:r>
      <w:r>
        <w:rPr>
          <w:rFonts w:hint="eastAsia" w:ascii="宋体" w:hAnsi="宋体"/>
          <w:sz w:val="32"/>
          <w:szCs w:val="32"/>
        </w:rPr>
        <w:t>主要是公务车辆燃油费、维修费、通行费、洗车停车费等</w:t>
      </w:r>
      <w:r>
        <w:rPr>
          <w:rFonts w:hint="eastAsia" w:asciiTheme="minorEastAsia" w:hAnsiTheme="minorEastAsia"/>
          <w:sz w:val="32"/>
          <w:szCs w:val="32"/>
        </w:rPr>
        <w:t>支出，截止2020年12月31日，我单位开支财政拨款的公务用车保有量为</w:t>
      </w:r>
      <w:r>
        <w:rPr>
          <w:rFonts w:hint="eastAsia" w:asciiTheme="minorEastAsia" w:hAnsiTheme="minorEastAsia"/>
          <w:sz w:val="32"/>
          <w:szCs w:val="32"/>
          <w:lang w:val="en-US" w:eastAsia="zh-CN"/>
        </w:rPr>
        <w:t>9</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rPr>
          <w:rFonts w:hint="eastAsia" w:asciiTheme="minorEastAsia" w:hAnsiTheme="minorEastAsia" w:eastAsiaTheme="minorEastAsia"/>
          <w:i/>
          <w:color w:val="FF0000"/>
          <w:sz w:val="32"/>
          <w:szCs w:val="32"/>
          <w:lang w:eastAsia="zh-CN"/>
        </w:rPr>
      </w:pPr>
      <w:r>
        <w:rPr>
          <w:rFonts w:hint="eastAsia" w:asciiTheme="minorEastAsia" w:hAnsiTheme="minorEastAsia" w:eastAsiaTheme="minorEastAsia"/>
          <w:sz w:val="32"/>
          <w:szCs w:val="32"/>
        </w:rPr>
        <w:t xml:space="preserve">     2020年度</w:t>
      </w:r>
      <w:r>
        <w:rPr>
          <w:rFonts w:hint="eastAsia" w:asciiTheme="minorEastAsia" w:hAnsiTheme="minorEastAsia" w:eastAsiaTheme="minorEastAsia"/>
          <w:sz w:val="32"/>
          <w:szCs w:val="32"/>
          <w:lang w:eastAsia="zh-CN"/>
        </w:rPr>
        <w:t>本单位无</w:t>
      </w:r>
      <w:r>
        <w:rPr>
          <w:rFonts w:hint="eastAsia" w:asciiTheme="minorEastAsia" w:hAnsiTheme="minorEastAsia" w:eastAsiaTheme="minorEastAsia"/>
          <w:sz w:val="32"/>
          <w:szCs w:val="32"/>
        </w:rPr>
        <w:t>政府性基金预算收入</w:t>
      </w:r>
      <w:r>
        <w:rPr>
          <w:rFonts w:hint="eastAsia" w:asciiTheme="minorEastAsia" w:hAnsiTheme="minorEastAsia" w:eastAsiaTheme="minorEastAsia"/>
          <w:sz w:val="32"/>
          <w:szCs w:val="32"/>
          <w:lang w:eastAsia="zh-CN"/>
        </w:rPr>
        <w:t>。</w:t>
      </w:r>
    </w:p>
    <w:p>
      <w:pPr>
        <w:pStyle w:val="9"/>
        <w:numPr>
          <w:ilvl w:val="0"/>
          <w:numId w:val="0"/>
        </w:numPr>
        <w:spacing w:line="500" w:lineRule="exact"/>
        <w:rPr>
          <w:rFonts w:hint="eastAsia" w:hAnsi="黑体" w:cs="黑体"/>
          <w:sz w:val="32"/>
          <w:szCs w:val="32"/>
          <w:lang w:val="en-US" w:eastAsia="zh-CN"/>
        </w:rPr>
      </w:pPr>
      <w:r>
        <w:rPr>
          <w:rFonts w:hint="eastAsia" w:hAnsi="黑体" w:cs="黑体"/>
          <w:sz w:val="32"/>
          <w:szCs w:val="32"/>
          <w:lang w:val="en-US" w:eastAsia="zh-CN"/>
        </w:rPr>
        <w:t>九、</w:t>
      </w:r>
      <w:r>
        <w:rPr>
          <w:rFonts w:hint="eastAsia" w:ascii="黑体" w:hAnsi="黑体" w:eastAsia="黑体" w:cs="黑体"/>
          <w:sz w:val="32"/>
          <w:szCs w:val="32"/>
        </w:rPr>
        <w:t>国有资本经营预算支出决算</w:t>
      </w:r>
      <w:r>
        <w:rPr>
          <w:rFonts w:hint="eastAsia" w:hAnsi="黑体" w:cs="黑体"/>
          <w:sz w:val="32"/>
          <w:szCs w:val="32"/>
          <w:lang w:val="en-US" w:eastAsia="zh-CN"/>
        </w:rPr>
        <w:t>情况</w:t>
      </w:r>
    </w:p>
    <w:p>
      <w:pPr>
        <w:pStyle w:val="9"/>
        <w:ind w:firstLine="640"/>
        <w:rPr>
          <w:rFonts w:hint="eastAsia" w:eastAsia="宋体 (正文)" w:asciiTheme="minorEastAsia" w:hAnsiTheme="minorEastAsia"/>
          <w:i/>
          <w:color w:val="FF0000"/>
          <w:sz w:val="32"/>
          <w:szCs w:val="32"/>
          <w:lang w:eastAsia="zh-CN"/>
        </w:rPr>
      </w:pPr>
      <w:r>
        <w:rPr>
          <w:rFonts w:hint="eastAsia" w:ascii="宋体 (正文)" w:hAnsi="宋体 (正文)" w:eastAsia="宋体 (正文)" w:cs="宋体 (正文)"/>
          <w:sz w:val="32"/>
          <w:szCs w:val="32"/>
          <w:lang w:val="en-US" w:eastAsia="zh-CN"/>
        </w:rPr>
        <w:t>2020年度本单位无</w:t>
      </w:r>
      <w:r>
        <w:rPr>
          <w:rFonts w:hint="eastAsia" w:ascii="宋体 (正文)" w:hAnsi="宋体 (正文)" w:eastAsia="宋体 (正文)" w:cs="宋体 (正文)"/>
          <w:sz w:val="32"/>
          <w:szCs w:val="32"/>
        </w:rPr>
        <w:t>国有资本经营预算</w:t>
      </w:r>
      <w:r>
        <w:rPr>
          <w:rFonts w:hint="eastAsia" w:ascii="宋体 (正文)" w:hAnsi="宋体 (正文)" w:eastAsia="宋体 (正文)" w:cs="宋体 (正文)"/>
          <w:sz w:val="32"/>
          <w:szCs w:val="32"/>
          <w:lang w:val="en-US" w:eastAsia="zh-CN"/>
        </w:rPr>
        <w:t>收入。</w:t>
      </w:r>
    </w:p>
    <w:p>
      <w:pPr>
        <w:pStyle w:val="9"/>
        <w:keepNext w:val="0"/>
        <w:keepLines w:val="0"/>
        <w:pageBreakBefore w:val="0"/>
        <w:widowControl w:val="0"/>
        <w:kinsoku/>
        <w:wordWrap/>
        <w:overflowPunct/>
        <w:topLinePunct w:val="0"/>
        <w:bidi w:val="0"/>
        <w:snapToGrid/>
        <w:spacing w:line="240" w:lineRule="auto"/>
        <w:textAlignment w:val="auto"/>
        <w:rPr>
          <w:rFonts w:hAnsi="黑体"/>
          <w:b/>
          <w:sz w:val="32"/>
          <w:szCs w:val="32"/>
        </w:rPr>
      </w:pPr>
      <w:r>
        <w:rPr>
          <w:rFonts w:hint="eastAsia" w:ascii="黑体" w:hAnsi="黑体" w:eastAsia="黑体" w:cs="黑体"/>
          <w:i/>
          <w:color w:val="000000" w:themeColor="text1"/>
          <w:sz w:val="32"/>
          <w:szCs w:val="32"/>
          <w:lang w:val="en-US" w:eastAsia="zh-CN"/>
          <w14:textFill>
            <w14:solidFill>
              <w14:schemeClr w14:val="tx1"/>
            </w14:solidFill>
          </w14:textFill>
        </w:rPr>
        <w:t>十、</w:t>
      </w:r>
      <w:r>
        <w:rPr>
          <w:rFonts w:hint="eastAsia" w:hAnsi="黑体"/>
          <w:b/>
          <w:sz w:val="32"/>
          <w:szCs w:val="32"/>
        </w:rPr>
        <w:t>关于2020年度预算绩效情况的说明</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宋体" w:hAnsi="宋体"/>
          <w:color w:val="000000"/>
          <w:kern w:val="0"/>
          <w:sz w:val="32"/>
          <w:szCs w:val="32"/>
        </w:rPr>
      </w:pPr>
      <w:r>
        <w:rPr>
          <w:rFonts w:hint="eastAsia" w:cs="黑体" w:asciiTheme="minorEastAsia" w:hAnsiTheme="minorEastAsia" w:eastAsiaTheme="minorEastAsia"/>
          <w:color w:val="000000"/>
          <w:kern w:val="0"/>
          <w:sz w:val="32"/>
          <w:szCs w:val="32"/>
          <w:lang w:val="en-US" w:eastAsia="zh-CN" w:bidi="ar-SA"/>
        </w:rPr>
        <w:t>根据《湘西州财政局关于开展2020年度州直预算部门（单位）整体支出绩效自评工作的通知》（州财绩〔2021〕8</w:t>
      </w:r>
      <w:r>
        <w:rPr>
          <w:rFonts w:hint="eastAsia" w:ascii="宋体" w:hAnsi="宋体" w:cs="仿宋_GB2312"/>
          <w:sz w:val="32"/>
          <w:szCs w:val="32"/>
        </w:rPr>
        <w:t>号）等文件的要求，本单位于202</w:t>
      </w:r>
      <w:r>
        <w:rPr>
          <w:rFonts w:hint="eastAsia" w:ascii="宋体" w:hAnsi="宋体" w:cs="仿宋_GB2312"/>
          <w:sz w:val="32"/>
          <w:szCs w:val="32"/>
          <w:lang w:val="en-US" w:eastAsia="zh-CN"/>
        </w:rPr>
        <w:t>1</w:t>
      </w:r>
      <w:r>
        <w:rPr>
          <w:rFonts w:hint="eastAsia" w:ascii="宋体" w:hAnsi="宋体" w:cs="仿宋_GB2312"/>
          <w:sz w:val="32"/>
          <w:szCs w:val="32"/>
        </w:rPr>
        <w:t>年5月至6月，组织力量对本单位</w:t>
      </w:r>
      <w:r>
        <w:rPr>
          <w:rFonts w:hint="eastAsia" w:ascii="宋体" w:hAnsi="宋体" w:cs="仿宋_GB2312"/>
          <w:sz w:val="32"/>
          <w:szCs w:val="32"/>
          <w:lang w:eastAsia="zh-CN"/>
        </w:rPr>
        <w:t>（汇总含本级）</w:t>
      </w:r>
      <w:r>
        <w:rPr>
          <w:rFonts w:hint="eastAsia" w:ascii="宋体" w:hAnsi="宋体" w:cs="仿宋_GB2312"/>
          <w:sz w:val="32"/>
          <w:szCs w:val="32"/>
        </w:rPr>
        <w:t>的部门预算整体支出进行了绩效评价，本次评价遵循了“科学规范、公正公开、分类管理、绩效相关”的原则，运用科学、合理的绩效评价指标、评价标准和评价方法，对本单位20</w:t>
      </w:r>
      <w:r>
        <w:rPr>
          <w:rFonts w:hint="eastAsia" w:ascii="宋体" w:hAnsi="宋体" w:cs="仿宋_GB2312"/>
          <w:sz w:val="32"/>
          <w:szCs w:val="32"/>
          <w:lang w:val="en-US" w:eastAsia="zh-CN"/>
        </w:rPr>
        <w:t>20</w:t>
      </w:r>
      <w:r>
        <w:rPr>
          <w:rFonts w:hint="eastAsia" w:ascii="宋体" w:hAnsi="宋体" w:cs="仿宋_GB2312"/>
          <w:sz w:val="32"/>
          <w:szCs w:val="32"/>
        </w:rPr>
        <w:t>年度部门整体支出的绩效情况进行客观、公正的评价。</w:t>
      </w:r>
      <w:r>
        <w:rPr>
          <w:rFonts w:hint="eastAsia" w:ascii="宋体" w:hAnsi="宋体" w:cs="仿宋_GB2312"/>
          <w:color w:val="000000"/>
          <w:kern w:val="0"/>
          <w:sz w:val="32"/>
          <w:szCs w:val="32"/>
        </w:rPr>
        <w:t>20</w:t>
      </w:r>
      <w:r>
        <w:rPr>
          <w:rFonts w:hint="eastAsia" w:ascii="宋体" w:hAnsi="宋体" w:cs="仿宋_GB2312"/>
          <w:color w:val="000000"/>
          <w:kern w:val="0"/>
          <w:sz w:val="32"/>
          <w:szCs w:val="32"/>
          <w:lang w:val="en-US" w:eastAsia="zh-CN"/>
        </w:rPr>
        <w:t>20</w:t>
      </w:r>
      <w:r>
        <w:rPr>
          <w:rFonts w:hint="eastAsia" w:ascii="宋体" w:hAnsi="宋体" w:cs="仿宋_GB2312"/>
          <w:color w:val="000000"/>
          <w:kern w:val="0"/>
          <w:sz w:val="32"/>
          <w:szCs w:val="32"/>
        </w:rPr>
        <w:t>年度本单位绩效整体目标：履行行政执法职能、维护社会经济良好秩序；打击假冒伪劣商品、维护消费者合法权益；加强特种设备监管，防范特种设备安全事故发生</w:t>
      </w:r>
      <w:r>
        <w:rPr>
          <w:rFonts w:hint="eastAsia" w:ascii="宋体" w:hAnsi="宋体" w:cs="仿宋_GB2312"/>
          <w:color w:val="000000"/>
          <w:kern w:val="0"/>
          <w:sz w:val="32"/>
          <w:szCs w:val="32"/>
          <w:lang w:eastAsia="zh-CN"/>
        </w:rPr>
        <w:t>；</w:t>
      </w:r>
      <w:r>
        <w:rPr>
          <w:rFonts w:hint="eastAsia" w:ascii="宋体" w:hAnsi="宋体" w:cs="仿宋_GB2312"/>
          <w:color w:val="000000"/>
          <w:kern w:val="0"/>
          <w:sz w:val="32"/>
          <w:szCs w:val="32"/>
        </w:rPr>
        <w:t>逐步推进质量提升、严守安全监管底线；</w:t>
      </w:r>
      <w:r>
        <w:rPr>
          <w:rFonts w:hint="eastAsia" w:ascii="宋体" w:hAnsi="宋体"/>
          <w:color w:val="000000"/>
          <w:kern w:val="0"/>
          <w:sz w:val="32"/>
          <w:szCs w:val="32"/>
        </w:rPr>
        <w:t>确保人民饮食、用药用械安全有效，查处和打击食药安全监管工作中的违法犯罪行为。实际完成情况为：</w:t>
      </w:r>
      <w:r>
        <w:rPr>
          <w:rFonts w:hint="eastAsia" w:ascii="宋体" w:hAnsi="宋体" w:cs="仿宋_GB2312"/>
          <w:color w:val="000000"/>
          <w:kern w:val="0"/>
          <w:sz w:val="32"/>
          <w:szCs w:val="32"/>
        </w:rPr>
        <w:t>严厉打击重点防疫物资和重要民生商品领域哄抬物价、囤积居奇等违法行为，严查民生领域价费违法行为，共查处价格违法案件21件, 全面维护市场秩序;全州申报知识产权专项项目21个，获批立项11个，申请专利1017件，申请国外专利（PCT)3件，实现零的突破</w:t>
      </w:r>
      <w:r>
        <w:rPr>
          <w:rFonts w:hint="eastAsia" w:ascii="宋体" w:hAnsi="宋体" w:cs="仿宋_GB2312"/>
          <w:color w:val="000000"/>
          <w:kern w:val="0"/>
          <w:sz w:val="32"/>
          <w:szCs w:val="32"/>
          <w:lang w:eastAsia="zh-CN"/>
        </w:rPr>
        <w:t>；</w:t>
      </w:r>
      <w:r>
        <w:rPr>
          <w:rFonts w:hint="eastAsia" w:ascii="宋体" w:hAnsi="宋体" w:cs="仿宋_GB2312"/>
          <w:color w:val="000000"/>
          <w:kern w:val="0"/>
          <w:sz w:val="32"/>
          <w:szCs w:val="32"/>
        </w:rPr>
        <w:t>严抓产品质量安全，严守特种设备安全，标准化战略实施有序推进，质量强州深入推进。开展特种设备安全专项治理，共检查企业721家，检查设备5587台，排查治理安全隐患870台</w:t>
      </w:r>
      <w:r>
        <w:rPr>
          <w:rFonts w:hint="eastAsia" w:ascii="宋体" w:hAnsi="宋体" w:cs="仿宋_GB2312"/>
          <w:color w:val="000000"/>
          <w:kern w:val="0"/>
          <w:sz w:val="32"/>
          <w:szCs w:val="32"/>
          <w:lang w:eastAsia="zh-CN"/>
        </w:rPr>
        <w:t>；</w:t>
      </w:r>
      <w:r>
        <w:rPr>
          <w:rFonts w:hint="eastAsia" w:ascii="宋体" w:hAnsi="宋体" w:cs="仿宋_GB2312"/>
          <w:color w:val="000000"/>
          <w:kern w:val="0"/>
          <w:sz w:val="32"/>
          <w:szCs w:val="32"/>
        </w:rPr>
        <w:t>严格加强相关防治药品、试剂、医疗器械及防护用品和特殊食品等物资的质量监管工作。全面加强食品生产经营检查抽查，精准防控食品安全风险隐患，确保群众“菜篮子”、“米袋子”的绝对安全，实现了湘西疫情防护物资生产企业零的突破，全州未发生源发性、系统性、区域性的食品药品安全事故。</w:t>
      </w:r>
      <w:r>
        <w:rPr>
          <w:rFonts w:hint="eastAsia" w:ascii="宋体" w:hAnsi="宋体" w:cs="仿宋"/>
          <w:color w:val="000000"/>
          <w:kern w:val="0"/>
          <w:sz w:val="32"/>
          <w:szCs w:val="32"/>
        </w:rPr>
        <w:t>评价指标得分为“良好”。</w:t>
      </w:r>
      <w:r>
        <w:rPr>
          <w:rFonts w:hint="eastAsia" w:ascii="宋体" w:hAnsi="宋体"/>
          <w:color w:val="000000"/>
          <w:kern w:val="0"/>
          <w:sz w:val="32"/>
          <w:szCs w:val="32"/>
        </w:rPr>
        <w:t>本次绩效评价结果已按相关规定在单位门户网站上予以公开。</w:t>
      </w:r>
    </w:p>
    <w:p>
      <w:pPr>
        <w:pStyle w:val="9"/>
        <w:rPr>
          <w:rFonts w:hint="default" w:ascii="黑体" w:hAnsi="黑体" w:eastAsia="黑体" w:cs="黑体"/>
          <w:b/>
          <w:bCs/>
          <w:i/>
          <w:color w:val="000000" w:themeColor="text1"/>
          <w:sz w:val="32"/>
          <w:szCs w:val="32"/>
          <w:lang w:val="en-US" w:eastAsia="zh-CN"/>
          <w14:textFill>
            <w14:solidFill>
              <w14:schemeClr w14:val="tx1"/>
            </w14:solidFill>
          </w14:textFill>
        </w:rPr>
      </w:pPr>
      <w:r>
        <w:rPr>
          <w:rFonts w:hint="eastAsia" w:ascii="黑体" w:hAnsi="黑体" w:eastAsia="黑体" w:cs="黑体"/>
          <w:b/>
          <w:bCs/>
          <w:i/>
          <w:color w:val="000000" w:themeColor="text1"/>
          <w:sz w:val="32"/>
          <w:szCs w:val="32"/>
          <w:lang w:val="en-US" w:eastAsia="zh-CN"/>
          <w14:textFill>
            <w14:solidFill>
              <w14:schemeClr w14:val="tx1"/>
            </w14:solidFill>
          </w14:textFill>
        </w:rPr>
        <w:t>十一、</w:t>
      </w:r>
      <w:r>
        <w:rPr>
          <w:rFonts w:hint="eastAsia" w:hAnsi="黑体" w:cs="黑体"/>
          <w:b/>
          <w:bCs/>
          <w:i/>
          <w:color w:val="000000" w:themeColor="text1"/>
          <w:sz w:val="32"/>
          <w:szCs w:val="32"/>
          <w:lang w:val="en-US" w:eastAsia="zh-CN"/>
          <w14:textFill>
            <w14:solidFill>
              <w14:schemeClr w14:val="tx1"/>
            </w14:solidFill>
          </w14:textFill>
        </w:rPr>
        <w:t>其他重要事项情况说明</w:t>
      </w:r>
    </w:p>
    <w:p>
      <w:pPr>
        <w:pStyle w:val="9"/>
        <w:rPr>
          <w:rFonts w:hint="eastAsia" w:hAnsi="黑体" w:eastAsia="黑体"/>
          <w:b/>
          <w:sz w:val="32"/>
          <w:szCs w:val="32"/>
          <w:lang w:eastAsia="zh-CN"/>
        </w:rPr>
      </w:pPr>
      <w:r>
        <w:rPr>
          <w:rFonts w:hint="eastAsia" w:hAnsi="黑体"/>
          <w:b/>
          <w:sz w:val="32"/>
          <w:szCs w:val="32"/>
          <w:lang w:val="en-US" w:eastAsia="zh-CN"/>
        </w:rPr>
        <w:t xml:space="preserve">    （一）</w:t>
      </w:r>
      <w:r>
        <w:rPr>
          <w:rFonts w:hint="eastAsia" w:hAnsi="黑体"/>
          <w:b/>
          <w:sz w:val="32"/>
          <w:szCs w:val="32"/>
        </w:rPr>
        <w:t>关于机关运行经费支出</w:t>
      </w:r>
      <w:r>
        <w:rPr>
          <w:rFonts w:hint="eastAsia" w:hAnsi="黑体"/>
          <w:b/>
          <w:sz w:val="32"/>
          <w:szCs w:val="32"/>
          <w:lang w:val="en-US" w:eastAsia="zh-CN"/>
        </w:rPr>
        <w:t>情况</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w:t>
      </w:r>
      <w:r>
        <w:rPr>
          <w:rFonts w:hint="eastAsia" w:asciiTheme="minorEastAsia" w:hAnsiTheme="minorEastAsia" w:eastAsiaTheme="minorEastAsia"/>
          <w:sz w:val="32"/>
          <w:szCs w:val="32"/>
          <w:lang w:val="en-US" w:eastAsia="zh-CN"/>
        </w:rPr>
        <w:t>716.14</w:t>
      </w:r>
      <w:r>
        <w:rPr>
          <w:rFonts w:hint="eastAsia" w:asciiTheme="minorEastAsia" w:hAnsiTheme="minorEastAsia" w:eastAsiaTheme="minorEastAsia"/>
          <w:sz w:val="32"/>
          <w:szCs w:val="32"/>
        </w:rPr>
        <w:t>万元，比年初预算数减少</w:t>
      </w:r>
      <w:r>
        <w:rPr>
          <w:rFonts w:hint="eastAsia" w:asciiTheme="minorEastAsia" w:hAnsiTheme="minorEastAsia" w:eastAsiaTheme="minorEastAsia"/>
          <w:sz w:val="32"/>
          <w:szCs w:val="32"/>
          <w:lang w:val="en-US" w:eastAsia="zh-CN"/>
        </w:rPr>
        <w:t>67.78</w:t>
      </w:r>
      <w:r>
        <w:rPr>
          <w:rFonts w:hint="eastAsia" w:asciiTheme="minorEastAsia" w:hAnsiTheme="minorEastAsia" w:eastAsiaTheme="minorEastAsia"/>
          <w:sz w:val="32"/>
          <w:szCs w:val="32"/>
        </w:rPr>
        <w:t xml:space="preserve"> 万元，降低</w:t>
      </w:r>
      <w:r>
        <w:rPr>
          <w:rFonts w:hint="eastAsia" w:asciiTheme="minorEastAsia" w:hAnsiTheme="minorEastAsia" w:eastAsiaTheme="minorEastAsia"/>
          <w:sz w:val="32"/>
          <w:szCs w:val="32"/>
          <w:lang w:val="en-US" w:eastAsia="zh-CN"/>
        </w:rPr>
        <w:t>8.65</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机构改革</w:t>
      </w:r>
      <w:r>
        <w:rPr>
          <w:rFonts w:hint="eastAsia" w:asciiTheme="minorEastAsia" w:hAnsiTheme="minorEastAsia" w:eastAsiaTheme="minorEastAsia"/>
          <w:sz w:val="32"/>
          <w:szCs w:val="32"/>
        </w:rPr>
        <w:t>合并后厉行节约，机关运行经费减少。</w:t>
      </w:r>
    </w:p>
    <w:p>
      <w:pPr>
        <w:pStyle w:val="9"/>
        <w:ind w:firstLine="640" w:firstLineChars="200"/>
        <w:rPr>
          <w:rFonts w:hAnsi="黑体"/>
          <w:b/>
          <w:sz w:val="32"/>
          <w:szCs w:val="32"/>
        </w:rPr>
      </w:pPr>
      <w:r>
        <w:rPr>
          <w:rFonts w:hint="eastAsia" w:hAnsi="黑体"/>
          <w:b/>
          <w:sz w:val="32"/>
          <w:szCs w:val="32"/>
          <w:lang w:eastAsia="zh-CN"/>
        </w:rPr>
        <w:t>（</w:t>
      </w:r>
      <w:r>
        <w:rPr>
          <w:rFonts w:hint="eastAsia" w:hAnsi="黑体"/>
          <w:b/>
          <w:sz w:val="32"/>
          <w:szCs w:val="32"/>
          <w:lang w:val="en-US" w:eastAsia="zh-CN"/>
        </w:rPr>
        <w:t>二</w:t>
      </w:r>
      <w:r>
        <w:rPr>
          <w:rFonts w:hint="eastAsia" w:hAnsi="黑体"/>
          <w:b/>
          <w:sz w:val="32"/>
          <w:szCs w:val="32"/>
          <w:lang w:eastAsia="zh-CN"/>
        </w:rPr>
        <w:t>）</w:t>
      </w:r>
      <w:r>
        <w:rPr>
          <w:rFonts w:hint="eastAsia" w:hAnsi="黑体"/>
          <w:b/>
          <w:sz w:val="32"/>
          <w:szCs w:val="32"/>
        </w:rPr>
        <w:t>一般性支出情况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2020年本部门开支会议费</w:t>
      </w:r>
      <w:r>
        <w:rPr>
          <w:rFonts w:hint="eastAsia" w:asciiTheme="minorEastAsia" w:hAnsiTheme="minorEastAsia" w:eastAsiaTheme="minorEastAsia"/>
          <w:sz w:val="32"/>
          <w:szCs w:val="32"/>
          <w:lang w:val="en-US" w:eastAsia="zh-CN"/>
        </w:rPr>
        <w:t>1.18</w:t>
      </w:r>
      <w:r>
        <w:rPr>
          <w:rFonts w:hint="eastAsia" w:asciiTheme="minorEastAsia" w:hAnsiTheme="minorEastAsia" w:eastAsiaTheme="minorEastAsia"/>
          <w:sz w:val="32"/>
          <w:szCs w:val="32"/>
        </w:rPr>
        <w:t>万元，用于召开州局</w:t>
      </w:r>
      <w:r>
        <w:rPr>
          <w:rFonts w:hint="eastAsia" w:asciiTheme="minorEastAsia" w:hAnsiTheme="minorEastAsia" w:eastAsiaTheme="minorEastAsia"/>
          <w:sz w:val="32"/>
          <w:szCs w:val="32"/>
          <w:lang w:eastAsia="zh-CN"/>
        </w:rPr>
        <w:t>工作</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350</w:t>
      </w:r>
      <w:r>
        <w:rPr>
          <w:rFonts w:hint="eastAsia" w:asciiTheme="minorEastAsia" w:hAnsiTheme="minorEastAsia" w:eastAsiaTheme="minorEastAsia"/>
          <w:sz w:val="32"/>
          <w:szCs w:val="32"/>
        </w:rPr>
        <w:t>人，内容为州局</w:t>
      </w:r>
      <w:r>
        <w:rPr>
          <w:rFonts w:hint="eastAsia" w:asciiTheme="minorEastAsia" w:hAnsiTheme="minorEastAsia" w:eastAsiaTheme="minorEastAsia"/>
          <w:sz w:val="32"/>
          <w:szCs w:val="32"/>
          <w:lang w:eastAsia="zh-CN"/>
        </w:rPr>
        <w:t>务虚会：</w:t>
      </w:r>
      <w:r>
        <w:rPr>
          <w:rFonts w:hint="eastAsia" w:asciiTheme="minorEastAsia" w:hAnsiTheme="minorEastAsia" w:eastAsiaTheme="minorEastAsia"/>
          <w:sz w:val="32"/>
          <w:szCs w:val="32"/>
          <w:lang w:val="en-US" w:eastAsia="zh-CN"/>
        </w:rPr>
        <w:t>总结上年工作、</w:t>
      </w:r>
      <w:r>
        <w:rPr>
          <w:rFonts w:hint="eastAsia" w:asciiTheme="minorEastAsia" w:hAnsiTheme="minorEastAsia" w:eastAsiaTheme="minorEastAsia"/>
          <w:sz w:val="32"/>
          <w:szCs w:val="32"/>
        </w:rPr>
        <w:t>安排部署本年工作</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第</w:t>
      </w:r>
      <w:r>
        <w:rPr>
          <w:rFonts w:hint="eastAsia" w:asciiTheme="minorEastAsia" w:hAnsiTheme="minorEastAsia" w:eastAsiaTheme="minorEastAsia"/>
          <w:sz w:val="32"/>
          <w:szCs w:val="32"/>
          <w:lang w:eastAsia="zh-CN"/>
        </w:rPr>
        <w:t>二</w:t>
      </w:r>
      <w:r>
        <w:rPr>
          <w:rFonts w:hint="eastAsia" w:asciiTheme="minorEastAsia" w:hAnsiTheme="minorEastAsia" w:eastAsiaTheme="minorEastAsia"/>
          <w:sz w:val="32"/>
          <w:szCs w:val="32"/>
        </w:rPr>
        <w:t>次</w:t>
      </w:r>
      <w:r>
        <w:rPr>
          <w:rFonts w:hint="eastAsia" w:asciiTheme="minorEastAsia" w:hAnsiTheme="minorEastAsia" w:eastAsiaTheme="minorEastAsia"/>
          <w:sz w:val="32"/>
          <w:szCs w:val="32"/>
          <w:lang w:eastAsia="zh-CN"/>
        </w:rPr>
        <w:t>局务会：总结第一季度工作</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2.55</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消防知识、保密知识授课、学习党校学习等</w:t>
      </w:r>
      <w:r>
        <w:rPr>
          <w:rFonts w:hint="eastAsia" w:asciiTheme="minorEastAsia" w:hAnsiTheme="minorEastAsia" w:eastAsiaTheme="minorEastAsia"/>
          <w:sz w:val="32"/>
          <w:szCs w:val="32"/>
        </w:rPr>
        <w:t>培训，人数XX人，内容为</w:t>
      </w:r>
      <w:r>
        <w:rPr>
          <w:rFonts w:hint="eastAsia" w:asciiTheme="minorEastAsia" w:hAnsiTheme="minorEastAsia" w:eastAsiaTheme="minorEastAsia"/>
          <w:sz w:val="32"/>
          <w:szCs w:val="32"/>
          <w:lang w:eastAsia="zh-CN"/>
        </w:rPr>
        <w:t>消防知识、保密知识授课、学习党校学习等</w:t>
      </w:r>
      <w:r>
        <w:rPr>
          <w:rFonts w:hint="eastAsia" w:asciiTheme="minorEastAsia" w:hAnsiTheme="minorEastAsia" w:eastAsiaTheme="minorEastAsia"/>
          <w:sz w:val="32"/>
          <w:szCs w:val="32"/>
        </w:rPr>
        <w:t>培训；举办</w:t>
      </w:r>
      <w:r>
        <w:rPr>
          <w:rFonts w:hint="eastAsia" w:asciiTheme="minorEastAsia" w:hAnsiTheme="minorEastAsia" w:eastAsiaTheme="minorEastAsia"/>
          <w:sz w:val="32"/>
          <w:szCs w:val="32"/>
          <w:lang w:eastAsia="zh-CN"/>
        </w:rPr>
        <w:t>全民健身和全民阅读、参加州直机关道德讲堂等</w:t>
      </w:r>
      <w:r>
        <w:rPr>
          <w:rFonts w:hint="eastAsia" w:asciiTheme="minorEastAsia" w:hAnsiTheme="minorEastAsia" w:eastAsiaTheme="minorEastAsia"/>
          <w:sz w:val="32"/>
          <w:szCs w:val="32"/>
        </w:rPr>
        <w:t>活动，开支</w:t>
      </w:r>
      <w:r>
        <w:rPr>
          <w:rFonts w:hint="eastAsia" w:asciiTheme="minorEastAsia" w:hAnsiTheme="minorEastAsia" w:eastAsiaTheme="minorEastAsia"/>
          <w:sz w:val="32"/>
          <w:szCs w:val="32"/>
          <w:lang w:val="en-US" w:eastAsia="zh-CN"/>
        </w:rPr>
        <w:t>18.95</w:t>
      </w:r>
      <w:r>
        <w:rPr>
          <w:rFonts w:hint="eastAsia" w:asciiTheme="minorEastAsia" w:hAnsiTheme="minorEastAsia" w:eastAsiaTheme="minorEastAsia"/>
          <w:sz w:val="32"/>
          <w:szCs w:val="32"/>
        </w:rPr>
        <w:t>万元，主要是</w:t>
      </w:r>
      <w:r>
        <w:rPr>
          <w:rFonts w:hint="eastAsia" w:asciiTheme="minorEastAsia" w:hAnsiTheme="minorEastAsia" w:eastAsiaTheme="minorEastAsia"/>
          <w:sz w:val="32"/>
          <w:szCs w:val="32"/>
          <w:lang w:eastAsia="zh-CN"/>
        </w:rPr>
        <w:t>全民健身工会活动购买服装费</w:t>
      </w:r>
      <w:r>
        <w:rPr>
          <w:rFonts w:hint="eastAsia" w:asciiTheme="minorEastAsia" w:hAnsiTheme="minorEastAsia" w:eastAsiaTheme="minorEastAsia"/>
          <w:sz w:val="32"/>
          <w:szCs w:val="32"/>
          <w:lang w:val="en-US" w:eastAsia="zh-CN"/>
        </w:rPr>
        <w:t>9.86万元、体育器材和奖品及阅读书籍等2.57万元，参加州直机关道德讲堂活动服装、劳务费、租赁费等6.52万元</w:t>
      </w:r>
      <w:r>
        <w:rPr>
          <w:rFonts w:hint="eastAsia" w:asciiTheme="minorEastAsia" w:hAnsiTheme="minorEastAsia" w:eastAsiaTheme="minorEastAsia"/>
          <w:sz w:val="32"/>
          <w:szCs w:val="32"/>
        </w:rPr>
        <w:t>。</w:t>
      </w:r>
    </w:p>
    <w:p>
      <w:pPr>
        <w:pStyle w:val="9"/>
        <w:rPr>
          <w:rFonts w:hint="eastAsia" w:hAnsi="黑体" w:eastAsia="黑体"/>
          <w:b/>
          <w:sz w:val="32"/>
          <w:szCs w:val="32"/>
          <w:lang w:eastAsia="zh-CN"/>
        </w:rPr>
      </w:pPr>
      <w:r>
        <w:rPr>
          <w:rFonts w:hint="eastAsia" w:hAnsi="黑体"/>
          <w:b/>
          <w:sz w:val="32"/>
          <w:szCs w:val="32"/>
          <w:lang w:val="en-US" w:eastAsia="zh-CN"/>
        </w:rPr>
        <w:t xml:space="preserve">   （三）</w:t>
      </w:r>
      <w:r>
        <w:rPr>
          <w:rFonts w:hint="eastAsia" w:hAnsi="黑体"/>
          <w:b/>
          <w:sz w:val="32"/>
          <w:szCs w:val="32"/>
        </w:rPr>
        <w:t>政府采购支出</w:t>
      </w:r>
      <w:r>
        <w:rPr>
          <w:rFonts w:hint="eastAsia" w:hAnsi="黑体"/>
          <w:b/>
          <w:sz w:val="32"/>
          <w:szCs w:val="32"/>
          <w:lang w:val="en-US" w:eastAsia="zh-CN"/>
        </w:rPr>
        <w:t>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78.45</w:t>
      </w:r>
      <w:r>
        <w:rPr>
          <w:rFonts w:hint="eastAsia" w:asciiTheme="minorEastAsia" w:hAnsiTheme="minorEastAsia" w:eastAsiaTheme="minorEastAsia"/>
          <w:sz w:val="32"/>
          <w:szCs w:val="32"/>
        </w:rPr>
        <w:t>万元，其中：政府采购货物支出XX 万元、政府采购工程支出</w:t>
      </w:r>
      <w:r>
        <w:rPr>
          <w:rFonts w:hint="eastAsia" w:asciiTheme="minorEastAsia" w:hAnsiTheme="minorEastAsia" w:eastAsiaTheme="minorEastAsia"/>
          <w:sz w:val="32"/>
          <w:szCs w:val="32"/>
          <w:lang w:val="en-US" w:eastAsia="zh-CN"/>
        </w:rPr>
        <w:t>65.95</w:t>
      </w:r>
      <w:r>
        <w:rPr>
          <w:rFonts w:hint="eastAsia" w:asciiTheme="minorEastAsia" w:hAnsiTheme="minorEastAsia" w:eastAsiaTheme="minorEastAsia"/>
          <w:sz w:val="32"/>
          <w:szCs w:val="32"/>
        </w:rPr>
        <w:t xml:space="preserve"> 万元、政府采购服务支出</w:t>
      </w:r>
      <w:r>
        <w:rPr>
          <w:rFonts w:hint="eastAsia" w:asciiTheme="minorEastAsia" w:hAnsiTheme="minorEastAsia" w:eastAsiaTheme="minorEastAsia"/>
          <w:sz w:val="32"/>
          <w:szCs w:val="32"/>
          <w:lang w:val="en-US" w:eastAsia="zh-CN"/>
        </w:rPr>
        <w:t>12.50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ind w:firstLine="320" w:firstLineChars="100"/>
        <w:rPr>
          <w:rFonts w:hAnsi="黑体"/>
          <w:b/>
          <w:sz w:val="32"/>
          <w:szCs w:val="32"/>
        </w:rPr>
      </w:pPr>
      <w:r>
        <w:rPr>
          <w:rFonts w:hint="eastAsia" w:hAnsi="黑体"/>
          <w:b/>
          <w:sz w:val="32"/>
          <w:szCs w:val="32"/>
          <w:lang w:eastAsia="zh-CN"/>
        </w:rPr>
        <w:t>（</w:t>
      </w:r>
      <w:r>
        <w:rPr>
          <w:rFonts w:hint="eastAsia" w:hAnsi="黑体"/>
          <w:b/>
          <w:sz w:val="32"/>
          <w:szCs w:val="32"/>
          <w:lang w:val="en-US" w:eastAsia="zh-CN"/>
        </w:rPr>
        <w:t>四</w:t>
      </w:r>
      <w:r>
        <w:rPr>
          <w:rFonts w:hint="eastAsia" w:hAnsi="黑体"/>
          <w:b/>
          <w:sz w:val="32"/>
          <w:szCs w:val="32"/>
          <w:lang w:eastAsia="zh-CN"/>
        </w:rPr>
        <w:t>）</w:t>
      </w:r>
      <w:r>
        <w:rPr>
          <w:rFonts w:hint="eastAsia" w:hAnsi="黑体"/>
          <w:b/>
          <w:sz w:val="32"/>
          <w:szCs w:val="32"/>
        </w:rPr>
        <w:t>国有资产占用情况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辆，其他用车主要是……；单位价值50万元以上通用设备</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hint="eastAsia" w:cs="黑体" w:asciiTheme="minorEastAsia" w:hAnsiTheme="minorEastAsia" w:eastAsiaTheme="minorEastAsia"/>
          <w:color w:val="000000"/>
          <w:kern w:val="0"/>
          <w:sz w:val="32"/>
          <w:szCs w:val="32"/>
          <w:lang w:val="en-US" w:eastAsia="zh-CN" w:bidi="ar-SA"/>
        </w:rPr>
      </w:pPr>
    </w:p>
    <w:p>
      <w:pPr>
        <w:widowControl/>
        <w:jc w:val="left"/>
        <w:rPr>
          <w:rFonts w:hint="eastAsia" w:cs="黑体" w:asciiTheme="minorEastAsia" w:hAnsiTheme="minorEastAsia" w:eastAsiaTheme="minorEastAsia"/>
          <w:color w:val="000000"/>
          <w:kern w:val="0"/>
          <w:sz w:val="32"/>
          <w:szCs w:val="32"/>
          <w:lang w:val="en-US" w:eastAsia="zh-CN" w:bidi="ar-SA"/>
        </w:rPr>
      </w:pPr>
    </w:p>
    <w:p>
      <w:pPr>
        <w:widowControl/>
        <w:jc w:val="left"/>
        <w:rPr>
          <w:rFonts w:hint="eastAsia" w:cs="黑体" w:asciiTheme="minorEastAsia" w:hAnsiTheme="minorEastAsia" w:eastAsiaTheme="minorEastAsia"/>
          <w:color w:val="000000"/>
          <w:kern w:val="0"/>
          <w:sz w:val="32"/>
          <w:szCs w:val="32"/>
          <w:lang w:val="en-US" w:eastAsia="zh-CN" w:bidi="ar-SA"/>
        </w:rPr>
      </w:pPr>
    </w:p>
    <w:p>
      <w:pPr>
        <w:widowControl/>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一、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9"/>
        <w:jc w:val="left"/>
        <w:rPr>
          <w:rFonts w:hint="default"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附件</w:t>
      </w: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widowControl/>
        <w:jc w:val="left"/>
        <w:rPr>
          <w:rFonts w:hint="eastAsia" w:cs="黑体" w:asciiTheme="minorEastAsia" w:hAnsiTheme="minorEastAsia"/>
          <w:b/>
          <w:color w:val="000000"/>
          <w:kern w:val="0"/>
          <w:sz w:val="32"/>
          <w:szCs w:val="32"/>
        </w:rPr>
      </w:pPr>
    </w:p>
    <w:p>
      <w:pPr>
        <w:widowControl/>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ind w:firstLine="640" w:firstLineChars="200"/>
        <w:jc w:val="left"/>
        <w:rPr>
          <w:rFonts w:cs="黑体" w:asciiTheme="minorEastAsia" w:hAnsiTheme="minorEastAsia"/>
          <w:color w:val="000000"/>
          <w:kern w:val="0"/>
          <w:sz w:val="32"/>
          <w:szCs w:val="32"/>
        </w:rPr>
      </w:pPr>
    </w:p>
    <w:p>
      <w:pPr>
        <w:snapToGrid/>
        <w:spacing w:before="0" w:beforeAutospacing="0" w:after="0" w:afterAutospacing="0" w:line="240" w:lineRule="auto"/>
        <w:ind w:firstLine="640" w:firstLineChars="200"/>
        <w:jc w:val="left"/>
        <w:textAlignment w:val="baseline"/>
        <w:rPr>
          <w:rStyle w:val="16"/>
          <w:rFonts w:ascii="宋体" w:hAnsi="宋体" w:eastAsia="宋体"/>
          <w:b w:val="0"/>
          <w:i w:val="0"/>
          <w:caps w:val="0"/>
          <w:color w:val="000000"/>
          <w:spacing w:val="0"/>
          <w:w w:val="100"/>
          <w:kern w:val="0"/>
          <w:sz w:val="32"/>
          <w:szCs w:val="32"/>
          <w:lang w:val="en-US" w:eastAsia="zh-CN" w:bidi="ar-SA"/>
        </w:rPr>
      </w:pPr>
      <w:r>
        <w:rPr>
          <w:rFonts w:hint="eastAsia" w:cs="黑体" w:asciiTheme="minorEastAsia" w:hAnsiTheme="minorEastAsia"/>
          <w:color w:val="000000"/>
          <w:kern w:val="0"/>
          <w:sz w:val="32"/>
          <w:szCs w:val="32"/>
          <w:lang w:eastAsia="zh-CN"/>
        </w:rPr>
        <w:t>本级无单独绩效评价，</w:t>
      </w:r>
      <w:r>
        <w:rPr>
          <w:rStyle w:val="16"/>
          <w:rFonts w:ascii="宋体" w:hAnsi="宋体" w:eastAsia="宋体"/>
          <w:b w:val="0"/>
          <w:i w:val="0"/>
          <w:caps w:val="0"/>
          <w:color w:val="000000"/>
          <w:spacing w:val="0"/>
          <w:w w:val="100"/>
          <w:kern w:val="0"/>
          <w:sz w:val="32"/>
          <w:szCs w:val="32"/>
          <w:lang w:val="en-US" w:eastAsia="zh-CN" w:bidi="ar-SA"/>
        </w:rPr>
        <w:t>绩效情况由州局汇总统一评价，详见州市场监督管理局2020年度</w:t>
      </w:r>
      <w:r>
        <w:rPr>
          <w:rFonts w:hint="eastAsia" w:cs="黑体" w:asciiTheme="minorEastAsia" w:hAnsiTheme="minorEastAsia" w:eastAsiaTheme="minorEastAsia"/>
          <w:color w:val="000000"/>
          <w:kern w:val="0"/>
          <w:sz w:val="32"/>
          <w:szCs w:val="32"/>
          <w:lang w:val="en-US" w:eastAsia="zh-CN" w:bidi="ar-SA"/>
        </w:rPr>
        <w:t>部门整体支出绩效评价报告</w:t>
      </w:r>
      <w:r>
        <w:rPr>
          <w:rStyle w:val="16"/>
          <w:rFonts w:ascii="宋体" w:hAnsi="宋体" w:eastAsia="宋体"/>
          <w:b w:val="0"/>
          <w:i w:val="0"/>
          <w:caps w:val="0"/>
          <w:color w:val="000000"/>
          <w:spacing w:val="0"/>
          <w:w w:val="100"/>
          <w:kern w:val="0"/>
          <w:sz w:val="32"/>
          <w:szCs w:val="32"/>
          <w:lang w:val="en-US" w:eastAsia="zh-CN" w:bidi="ar-SA"/>
        </w:rPr>
        <w:t>。</w:t>
      </w:r>
    </w:p>
    <w:p>
      <w:pPr>
        <w:ind w:firstLine="640" w:firstLineChars="200"/>
        <w:jc w:val="left"/>
        <w:rPr>
          <w:rFonts w:hint="eastAsia" w:cs="黑体" w:asciiTheme="minorEastAsia" w:hAnsiTheme="minorEastAsia" w:eastAsiaTheme="minorEastAsia"/>
          <w:color w:val="000000"/>
          <w:kern w:val="0"/>
          <w:sz w:val="32"/>
          <w:szCs w:val="32"/>
          <w:lang w:eastAsia="zh-CN"/>
        </w:rPr>
      </w:pPr>
    </w:p>
    <w:p>
      <w:pPr>
        <w:widowControl/>
        <w:jc w:val="center"/>
        <w:rPr>
          <w:rFonts w:hint="eastAsia" w:ascii="黑体" w:hAnsi="黑体" w:eastAsia="黑体" w:cs="黑体"/>
          <w:b/>
          <w:color w:val="000000"/>
          <w:kern w:val="0"/>
          <w:sz w:val="44"/>
          <w:szCs w:val="44"/>
        </w:rPr>
      </w:pPr>
    </w:p>
    <w:p>
      <w:pPr>
        <w:widowControl/>
        <w:jc w:val="center"/>
        <w:rPr>
          <w:rFonts w:hint="eastAsia" w:ascii="黑体" w:hAnsi="黑体" w:eastAsia="黑体" w:cs="黑体"/>
          <w:b/>
          <w:color w:val="000000"/>
          <w:kern w:val="0"/>
          <w:sz w:val="44"/>
          <w:szCs w:val="44"/>
        </w:rPr>
      </w:pPr>
    </w:p>
    <w:p>
      <w:pPr>
        <w:widowControl/>
        <w:jc w:val="center"/>
        <w:rPr>
          <w:rFonts w:hint="eastAsia" w:ascii="黑体" w:hAnsi="黑体" w:eastAsia="黑体" w:cs="黑体"/>
          <w:b/>
          <w:color w:val="000000"/>
          <w:kern w:val="0"/>
          <w:sz w:val="44"/>
          <w:szCs w:val="44"/>
        </w:rPr>
      </w:pPr>
    </w:p>
    <w:p>
      <w:pPr>
        <w:widowControl/>
        <w:jc w:val="center"/>
        <w:rPr>
          <w:rFonts w:hint="eastAsia" w:ascii="黑体" w:hAnsi="黑体" w:eastAsia="黑体" w:cs="黑体"/>
          <w:b/>
          <w:color w:val="000000"/>
          <w:kern w:val="0"/>
          <w:sz w:val="44"/>
          <w:szCs w:val="44"/>
        </w:rPr>
      </w:pPr>
    </w:p>
    <w:p>
      <w:pPr>
        <w:widowControl/>
        <w:jc w:val="center"/>
        <w:rPr>
          <w:rFonts w:hint="eastAsia" w:ascii="黑体" w:hAnsi="黑体" w:eastAsia="黑体" w:cs="黑体"/>
          <w:b/>
          <w:color w:val="000000"/>
          <w:kern w:val="0"/>
          <w:sz w:val="44"/>
          <w:szCs w:val="44"/>
        </w:rPr>
      </w:pPr>
    </w:p>
    <w:p>
      <w:pPr>
        <w:widowControl/>
        <w:jc w:val="center"/>
        <w:rPr>
          <w:rFonts w:hint="eastAsia" w:ascii="黑体" w:hAnsi="黑体" w:eastAsia="黑体" w:cs="黑体"/>
          <w:b/>
          <w:color w:val="000000"/>
          <w:kern w:val="0"/>
          <w:sz w:val="44"/>
          <w:szCs w:val="44"/>
        </w:rPr>
      </w:pPr>
    </w:p>
    <w:p>
      <w:pPr>
        <w:widowControl/>
        <w:jc w:val="center"/>
        <w:rPr>
          <w:rFonts w:hint="eastAsia" w:ascii="黑体" w:hAnsi="黑体" w:eastAsia="黑体" w:cs="黑体"/>
          <w:b/>
          <w:color w:val="000000"/>
          <w:kern w:val="0"/>
          <w:sz w:val="44"/>
          <w:szCs w:val="44"/>
        </w:rPr>
      </w:pPr>
      <w:r>
        <w:rPr>
          <w:rFonts w:hint="eastAsia" w:ascii="黑体" w:hAnsi="黑体" w:eastAsia="黑体" w:cs="黑体"/>
          <w:b/>
          <w:color w:val="000000"/>
          <w:kern w:val="0"/>
          <w:sz w:val="44"/>
          <w:szCs w:val="44"/>
        </w:rPr>
        <w:t>湘西土家族苗族自治州市场监督管理局</w:t>
      </w:r>
    </w:p>
    <w:p>
      <w:pPr>
        <w:widowControl/>
        <w:jc w:val="center"/>
        <w:rPr>
          <w:rFonts w:hint="eastAsia" w:ascii="黑体" w:hAnsi="黑体" w:eastAsia="黑体" w:cs="黑体"/>
          <w:b/>
          <w:bCs/>
          <w:color w:val="000000"/>
          <w:kern w:val="0"/>
          <w:sz w:val="44"/>
          <w:szCs w:val="44"/>
        </w:rPr>
      </w:pPr>
      <w:r>
        <w:rPr>
          <w:rFonts w:hint="eastAsia" w:ascii="黑体" w:hAnsi="黑体" w:eastAsia="黑体" w:cs="黑体"/>
          <w:b/>
          <w:color w:val="000000"/>
          <w:kern w:val="0"/>
          <w:sz w:val="44"/>
          <w:szCs w:val="44"/>
        </w:rPr>
        <w:t>2020年度部门整体支出绩效评价报告</w:t>
      </w:r>
    </w:p>
    <w:p>
      <w:pPr>
        <w:spacing w:line="580" w:lineRule="exact"/>
        <w:ind w:firstLine="750" w:firstLineChars="250"/>
        <w:rPr>
          <w:rFonts w:hint="eastAsia" w:ascii="仿宋_GB2312" w:hAnsi="仿宋_GB2312" w:eastAsia="仿宋_GB2312" w:cs="仿宋_GB2312"/>
          <w:sz w:val="30"/>
          <w:szCs w:val="30"/>
        </w:rPr>
      </w:pPr>
    </w:p>
    <w:p>
      <w:pPr>
        <w:spacing w:line="580" w:lineRule="exact"/>
        <w:ind w:firstLine="700" w:firstLineChars="250"/>
        <w:rPr>
          <w:rFonts w:hint="eastAsia" w:ascii="仿宋_GB2312" w:hAnsi="仿宋_GB2312" w:eastAsia="仿宋_GB2312" w:cs="仿宋_GB2312"/>
          <w:sz w:val="28"/>
          <w:szCs w:val="28"/>
        </w:rPr>
      </w:pPr>
      <w:r>
        <w:rPr>
          <w:rFonts w:hint="eastAsia" w:eastAsia="仿宋_GB2312"/>
          <w:sz w:val="28"/>
          <w:szCs w:val="32"/>
        </w:rPr>
        <w:t>为进一步规范</w:t>
      </w:r>
      <w:r>
        <w:rPr>
          <w:rFonts w:hint="eastAsia" w:ascii="仿宋_GB2312" w:hAnsi="仿宋_GB2312" w:eastAsia="仿宋_GB2312" w:cs="仿宋_GB2312"/>
          <w:sz w:val="28"/>
          <w:szCs w:val="28"/>
        </w:rPr>
        <w:t>湘西土家族苗族自治州市场监督管理局(以下简称“本单位</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w:t>
      </w:r>
      <w:r>
        <w:rPr>
          <w:rFonts w:hint="eastAsia" w:eastAsia="仿宋_GB2312"/>
          <w:sz w:val="28"/>
          <w:szCs w:val="32"/>
        </w:rPr>
        <w:t>财政资金管理，</w:t>
      </w:r>
      <w:r>
        <w:rPr>
          <w:rFonts w:eastAsia="仿宋_GB2312"/>
          <w:sz w:val="28"/>
          <w:szCs w:val="32"/>
        </w:rPr>
        <w:t>建立全方位、全过程、全覆盖的预算绩效管理体系，</w:t>
      </w:r>
      <w:r>
        <w:rPr>
          <w:rFonts w:hint="eastAsia" w:eastAsia="仿宋_GB2312"/>
          <w:sz w:val="28"/>
          <w:szCs w:val="32"/>
        </w:rPr>
        <w:t>强化部门责任意识，切实提高财政资金使用效益，</w:t>
      </w:r>
      <w:r>
        <w:rPr>
          <w:rFonts w:eastAsia="仿宋_GB2312"/>
          <w:sz w:val="28"/>
          <w:szCs w:val="32"/>
        </w:rPr>
        <w:t>提升预算</w:t>
      </w:r>
      <w:r>
        <w:rPr>
          <w:rFonts w:hint="eastAsia" w:eastAsia="仿宋_GB2312"/>
          <w:sz w:val="28"/>
          <w:szCs w:val="32"/>
        </w:rPr>
        <w:t>绩效</w:t>
      </w:r>
      <w:r>
        <w:rPr>
          <w:rFonts w:eastAsia="仿宋_GB2312"/>
          <w:sz w:val="28"/>
          <w:szCs w:val="32"/>
        </w:rPr>
        <w:t>管理水平</w:t>
      </w:r>
      <w:r>
        <w:rPr>
          <w:rFonts w:hint="eastAsia" w:eastAsia="仿宋_GB2312"/>
          <w:sz w:val="28"/>
          <w:szCs w:val="32"/>
        </w:rPr>
        <w:t>，根据《湖南省财政厅关于印发&lt;湖南省预算支出绩效评价管理办法&gt;的通知》（湘财绩〔2020〕7号）、</w:t>
      </w:r>
      <w:r>
        <w:rPr>
          <w:rFonts w:hint="eastAsia" w:eastAsia="仿宋_GB2312" w:cs="仿宋_GB2312"/>
          <w:sz w:val="28"/>
          <w:szCs w:val="32"/>
        </w:rPr>
        <w:t>《湘西自治州州级预算部门整体支出绩效自评操作规程》</w:t>
      </w:r>
      <w:r>
        <w:rPr>
          <w:rFonts w:hint="eastAsia" w:eastAsia="仿宋_GB2312"/>
          <w:sz w:val="28"/>
          <w:szCs w:val="32"/>
        </w:rPr>
        <w:t>（州财绩〔2021〕6 号）和</w:t>
      </w:r>
      <w:r>
        <w:rPr>
          <w:rFonts w:hint="eastAsia" w:ascii="仿宋_GB2312" w:hAnsi="仿宋_GB2312" w:eastAsia="仿宋_GB2312" w:cs="仿宋_GB2312"/>
          <w:sz w:val="28"/>
          <w:szCs w:val="28"/>
        </w:rPr>
        <w:t>《湘西州财政局关于开展2020年度州直预算部门（单位）整体支出绩效自评工作的通知》（州财绩〔2021〕8号）等文件的要求，本单位于2021年5月至6月，组织力量对本单位的部门预算整体支出进行了绩效评价，本次评价遵循了“科学规范、公正公开、分类管理、绩效相关”的原则，运用科学、合理的绩效评价指标、评价标准和评价方法，对本单位2020年度部门整体支出的绩效情况进行客观、公正的评价。现将情况汇报如下：</w:t>
      </w:r>
    </w:p>
    <w:p>
      <w:pPr>
        <w:spacing w:line="580" w:lineRule="exact"/>
        <w:ind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一、基本情况</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（一）部门基本情况和职责概述：</w:t>
      </w:r>
      <w:r>
        <w:rPr>
          <w:rFonts w:hint="eastAsia" w:ascii="仿宋_GB2312" w:hAnsi="仿宋_GB2312" w:eastAsia="仿宋_GB2312" w:cs="仿宋_GB2312"/>
          <w:sz w:val="28"/>
          <w:szCs w:val="28"/>
        </w:rPr>
        <w:t>湘西土家族苗族自治州市场监督管理局是</w:t>
      </w:r>
      <w:r>
        <w:rPr>
          <w:rFonts w:hint="eastAsia" w:ascii="仿宋_GB2312" w:hAnsi="楷体" w:eastAsia="仿宋_GB2312"/>
          <w:bCs/>
          <w:sz w:val="28"/>
          <w:szCs w:val="28"/>
        </w:rPr>
        <w:t>根据</w:t>
      </w:r>
      <w:r>
        <w:rPr>
          <w:rFonts w:hint="eastAsia" w:ascii="仿宋_GB2312" w:hAnsi="仿宋_GB2312" w:eastAsia="仿宋_GB2312" w:cs="仿宋_GB2312"/>
          <w:sz w:val="28"/>
          <w:szCs w:val="28"/>
        </w:rPr>
        <w:t>《中共湘西自治州委办公室 湘西自治州人民政府办公室关于印发〈湘西土家族苗族自治州机构改革方案〉的通知》（州办发〔2019〕2号）及《中共湘西自治州委 湘西自治州人民政府关于湘西土家族苗族自治州州级党政机关机构设置的通知》（州发〔2019〕5号）</w:t>
      </w:r>
      <w:r>
        <w:rPr>
          <w:rFonts w:hint="eastAsia" w:ascii="仿宋_GB2312" w:hAnsi="楷体" w:eastAsia="仿宋_GB2312"/>
          <w:bCs/>
          <w:sz w:val="28"/>
          <w:szCs w:val="28"/>
        </w:rPr>
        <w:t>于20</w:t>
      </w:r>
      <w:r>
        <w:rPr>
          <w:rFonts w:hint="eastAsia" w:ascii="仿宋_GB2312" w:hAnsi="楷体" w:eastAsia="仿宋_GB2312"/>
          <w:bCs/>
          <w:sz w:val="28"/>
          <w:szCs w:val="28"/>
          <w:lang w:val="en-US" w:eastAsia="zh-CN"/>
        </w:rPr>
        <w:t>19</w:t>
      </w:r>
      <w:r>
        <w:rPr>
          <w:rFonts w:hint="eastAsia" w:ascii="仿宋_GB2312" w:hAnsi="楷体" w:eastAsia="仿宋_GB2312"/>
          <w:bCs/>
          <w:sz w:val="28"/>
          <w:szCs w:val="28"/>
        </w:rPr>
        <w:t>年2月挂牌设立的</w:t>
      </w:r>
      <w:r>
        <w:rPr>
          <w:rFonts w:hint="eastAsia" w:ascii="仿宋_GB2312" w:hAnsi="仿宋_GB2312" w:eastAsia="仿宋_GB2312" w:cs="仿宋_GB2312"/>
          <w:sz w:val="28"/>
          <w:szCs w:val="28"/>
        </w:rPr>
        <w:t>国家行政机关</w:t>
      </w:r>
      <w:r>
        <w:rPr>
          <w:rFonts w:hint="eastAsia" w:ascii="仿宋_GB2312" w:hAnsi="楷体" w:eastAsia="仿宋_GB2312"/>
          <w:bCs/>
          <w:sz w:val="28"/>
          <w:szCs w:val="28"/>
        </w:rPr>
        <w:t>，由原州工商行政管理局、州质量技术监督局、州食品药品监督管理局（该三个单位于2019年2月合并）和州价格监督检查局、州商务综合执法支队、</w:t>
      </w:r>
      <w:r>
        <w:rPr>
          <w:rFonts w:hint="eastAsia" w:ascii="仿宋_GB2312" w:hAnsi="仿宋_GB2312" w:eastAsia="仿宋_GB2312" w:cs="仿宋_GB2312"/>
          <w:sz w:val="28"/>
          <w:szCs w:val="28"/>
        </w:rPr>
        <w:t>州质量技术监督信息管理所</w:t>
      </w:r>
      <w:r>
        <w:rPr>
          <w:rFonts w:hint="eastAsia" w:ascii="仿宋_GB2312" w:hAnsi="楷体" w:eastAsia="仿宋_GB2312"/>
          <w:bCs/>
          <w:sz w:val="28"/>
          <w:szCs w:val="28"/>
        </w:rPr>
        <w:t>（该3个单位于2020年合并进局机关）等合并而成，</w:t>
      </w:r>
      <w:r>
        <w:rPr>
          <w:rFonts w:hint="eastAsia" w:ascii="仿宋_GB2312" w:hAnsi="仿宋_GB2312" w:eastAsia="仿宋_GB2312" w:cs="仿宋_GB2312"/>
          <w:sz w:val="28"/>
          <w:szCs w:val="28"/>
        </w:rPr>
        <w:t>为州人民政府工作部门。单位住所在吉首市乾州新区人民南路39号，统一社会信用代码为</w:t>
      </w:r>
      <w:r>
        <w:rPr>
          <w:rFonts w:ascii="仿宋_GB2312" w:hAnsi="仿宋_GB2312" w:eastAsia="仿宋_GB2312" w:cs="仿宋_GB2312"/>
          <w:sz w:val="28"/>
          <w:szCs w:val="28"/>
        </w:rPr>
        <w:t>11433100MB151234XT</w:t>
      </w:r>
      <w:r>
        <w:rPr>
          <w:rFonts w:hint="eastAsia" w:ascii="仿宋_GB2312" w:hAnsi="仿宋_GB2312" w:eastAsia="仿宋_GB2312" w:cs="仿宋_GB2312"/>
          <w:sz w:val="28"/>
          <w:szCs w:val="28"/>
        </w:rPr>
        <w:t>。根据《中共湘西自治州委办公室 湘西自治州人民政府办公室关于印发〈湘西土家族苗族自治州市场监督管理局职能配置、内设机构和人员编制规定〉的通知》（州办〔2019〕73号）的规定，本单位的主要职责是：</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（一）负责市场综合监督管理。</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（二）负责市场主体统一登记注册。</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（三）负责组织和指导市场监管综合执法工作。</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（四）负责反垄断统一执法。</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（五）负责监督管理市场秩序。</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（六）负责宏观质量管理。</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（七）负责产品质量安全监督管理。</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（八）负责特种设备安全监督管理。</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（九）负责食品安全监督管理综合协调。</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（十）负责食品安全监督管理。</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（十一）负责药品（含中药、民族药）、医疗器械盒化妆品安全监督管理。</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（十二）负责职责范围内的药品、医疗器械和化妆品标准管理。</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（十三）负责权限内药品、医疗器械的行政许可、备案和化妆品备案工作。负责土家药、苗药饮片备案。</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（十四）负责药品、医疗器械盒化妆品质量管理。</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（十五）组织开展药品不良反应、医疗器械不良事件和化妆品的不良反应监测工作。依法承担药品、医疗器械和化妆品安全应急管理工作。</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（十六）负责组织实施药品、医疗器械和化妆品监督检查。</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（十七）负责统一管理计量工作。</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（十八）负责统一管理标准化工作。</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（十九）负责检验检测监督管理工作。</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（二十）负责监督管理和综合协调全州认证认可与合格评定工作。依法监督管理全州认证认可和合格评定相关活动。</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（二十一）负责市场监督管理、知识产权领域科技和信息化建设、新闻宣传、对外交流与合作。按规定承担技术性贸易措施有关工作。</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（二十二）负责实施知识产权战略，推进知识产权强州建设。</w:t>
      </w:r>
    </w:p>
    <w:p>
      <w:pPr>
        <w:spacing w:line="540" w:lineRule="exact"/>
        <w:ind w:firstLine="140" w:firstLineChars="5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(二十三)负责保护知识产权。</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（二十四）负责知识产权创造运用。</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（二十五）负责组织开展有关服务领域消费维权工作，查处制售假冒伪劣等违法行为，指导消费者咨询、申诉、举报受理、处理网络体系建设等工作，保护经营者、消费者合法权益。</w:t>
      </w:r>
    </w:p>
    <w:p>
      <w:pPr>
        <w:spacing w:line="5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（二十六）完成州委、州政府交办的其他任务</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本单位共有29个内设机构、2个单列机构、1个直属行政机构、1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个二级机构（</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个非独立核算、2个独立核算）、1个挂靠的社团组织办事机构。其中29个内设机构包括：办公室、政策法规科、登记注册局、旅游市场监督管理局、信用监督管理科、反垄断局、价格监督检查和反不正当竞争局、网络交易监督管理科、广告监督管理科、质量发展局、产品质量安全监督管理科、食品安全协调及抽检检测科、食品生产安全监督管理科、食品经营安全监督管理科、特殊食品安全监督管理科、特种设备安全监察局、计量科、标准化科、认可与认证监督管理科、知识产权促进科、知识产权保护科、知识产权运用科、药品注册生产流通监督管理科、医疗器械监督管理科、化妆品监督管理科、消费者权益保护科、小微企业个体工商户专业市场党建工作指导科、科技和财务科、人事科；2个单列机构为机关党委和离退休人员管理服务科；1个直属行政机构为湘西州经济开发区分局；</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个非独立核算二级机构为：州市场监管综合行政执法局、</w:t>
      </w:r>
      <w:r>
        <w:rPr>
          <w:rFonts w:hint="eastAsia" w:ascii="仿宋_GB2312" w:hAnsi="仿宋_GB2312" w:eastAsia="仿宋_GB2312" w:cs="仿宋_GB2312"/>
          <w:sz w:val="28"/>
          <w:szCs w:val="28"/>
          <w:lang w:eastAsia="zh-CN"/>
        </w:rPr>
        <w:t>州</w:t>
      </w:r>
      <w:r>
        <w:rPr>
          <w:rFonts w:hint="eastAsia" w:ascii="仿宋_GB2312" w:hAnsi="仿宋_GB2312" w:eastAsia="仿宋_GB2312" w:cs="仿宋_GB2312"/>
          <w:sz w:val="28"/>
          <w:szCs w:val="28"/>
        </w:rPr>
        <w:t>酒</w:t>
      </w:r>
      <w:r>
        <w:rPr>
          <w:rFonts w:hint="eastAsia" w:ascii="仿宋_GB2312" w:hAnsi="仿宋_GB2312" w:eastAsia="仿宋_GB2312" w:cs="仿宋_GB2312"/>
          <w:sz w:val="28"/>
          <w:szCs w:val="28"/>
          <w:lang w:eastAsia="zh-CN"/>
        </w:rPr>
        <w:t>管</w:t>
      </w:r>
      <w:r>
        <w:rPr>
          <w:rFonts w:hint="eastAsia" w:ascii="仿宋_GB2312" w:hAnsi="仿宋_GB2312" w:eastAsia="仿宋_GB2312" w:cs="仿宋_GB2312"/>
          <w:sz w:val="28"/>
          <w:szCs w:val="28"/>
        </w:rPr>
        <w:t>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后勤服务中心、信息中心、培训中心、12315</w:t>
      </w:r>
      <w:r>
        <w:rPr>
          <w:rFonts w:hint="eastAsia" w:ascii="仿宋_GB2312" w:hAnsi="仿宋_GB2312" w:eastAsia="仿宋_GB2312" w:cs="仿宋_GB2312"/>
          <w:sz w:val="28"/>
          <w:szCs w:val="28"/>
          <w:lang w:eastAsia="zh-CN"/>
        </w:rPr>
        <w:t>投诉</w:t>
      </w:r>
      <w:r>
        <w:rPr>
          <w:rFonts w:hint="eastAsia" w:ascii="仿宋_GB2312" w:hAnsi="仿宋_GB2312" w:eastAsia="仿宋_GB2312" w:cs="仿宋_GB2312"/>
          <w:sz w:val="28"/>
          <w:szCs w:val="28"/>
        </w:rPr>
        <w:t>举报中心、</w:t>
      </w:r>
      <w:r>
        <w:rPr>
          <w:rFonts w:hint="eastAsia" w:ascii="仿宋_GB2312" w:hAnsi="仿宋_GB2312" w:eastAsia="仿宋_GB2312" w:cs="仿宋_GB2312"/>
          <w:sz w:val="28"/>
          <w:szCs w:val="28"/>
          <w:lang w:eastAsia="zh-CN"/>
        </w:rPr>
        <w:t>食品</w:t>
      </w:r>
      <w:r>
        <w:rPr>
          <w:rFonts w:hint="eastAsia" w:ascii="仿宋_GB2312" w:hAnsi="仿宋_GB2312" w:eastAsia="仿宋_GB2312" w:cs="仿宋_GB2312"/>
          <w:sz w:val="28"/>
          <w:szCs w:val="28"/>
        </w:rPr>
        <w:t>药品</w:t>
      </w:r>
      <w:r>
        <w:rPr>
          <w:rFonts w:hint="eastAsia" w:ascii="仿宋_GB2312" w:hAnsi="仿宋_GB2312" w:eastAsia="仿宋_GB2312" w:cs="仿宋_GB2312"/>
          <w:sz w:val="28"/>
          <w:szCs w:val="28"/>
          <w:lang w:eastAsia="zh-CN"/>
        </w:rPr>
        <w:t>审评认证服务</w:t>
      </w:r>
      <w:r>
        <w:rPr>
          <w:rFonts w:hint="eastAsia" w:ascii="仿宋_GB2312" w:hAnsi="仿宋_GB2312" w:eastAsia="仿宋_GB2312" w:cs="仿宋_GB2312"/>
          <w:sz w:val="28"/>
          <w:szCs w:val="28"/>
        </w:rPr>
        <w:t>中心、</w:t>
      </w:r>
      <w:r>
        <w:rPr>
          <w:rFonts w:hint="eastAsia" w:ascii="仿宋_GB2312" w:hAnsi="仿宋_GB2312" w:eastAsia="仿宋_GB2312" w:cs="仿宋_GB2312"/>
          <w:sz w:val="28"/>
          <w:szCs w:val="28"/>
          <w:lang w:eastAsia="zh-CN"/>
        </w:rPr>
        <w:t>知识产权受理事务</w:t>
      </w:r>
      <w:r>
        <w:rPr>
          <w:rFonts w:hint="eastAsia" w:ascii="仿宋_GB2312" w:hAnsi="仿宋_GB2312" w:eastAsia="仿宋_GB2312" w:cs="仿宋_GB2312"/>
          <w:sz w:val="28"/>
          <w:szCs w:val="28"/>
        </w:rPr>
        <w:t>中心、州个体私营经济发展指导中心；2个独立核算的二级机构均为公益一类事业单位，分别是：州质量检验及计量检定中心（由州计量测试检定所和州产商品质量监督检验所于2020年1月合并，2020年时两个所独立核算）、州食品药品检验所；1个挂靠的社团组织办事机构为州消费者委员会秘书处。</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截止2020年12月31日，本单位经州编委核定的编制数为314名，其中：行政编制87名，全额拨款参公管理编制87名，工勤编制15名，全额拨款事业编制125名。实际在职人员295人（含州纪委派驻组4人）。</w:t>
      </w:r>
    </w:p>
    <w:p>
      <w:pPr>
        <w:spacing w:line="600" w:lineRule="exact"/>
        <w:ind w:firstLine="640" w:firstLineChars="200"/>
        <w:rPr>
          <w:rFonts w:hint="eastAsia" w:eastAsia="楷体_GB2312"/>
          <w:b/>
          <w:bCs/>
          <w:sz w:val="32"/>
          <w:szCs w:val="32"/>
        </w:rPr>
      </w:pPr>
      <w:r>
        <w:rPr>
          <w:rFonts w:eastAsia="楷体_GB2312"/>
          <w:b/>
          <w:bCs/>
          <w:sz w:val="32"/>
          <w:szCs w:val="32"/>
        </w:rPr>
        <w:t>（二）部门（单位）年度整体支出绩效目标，</w:t>
      </w:r>
      <w:r>
        <w:rPr>
          <w:rFonts w:hint="eastAsia"/>
          <w:b/>
          <w:bCs/>
          <w:sz w:val="32"/>
          <w:szCs w:val="32"/>
        </w:rPr>
        <w:t>州</w:t>
      </w:r>
      <w:r>
        <w:rPr>
          <w:rFonts w:eastAsia="楷体_GB2312"/>
          <w:b/>
          <w:bCs/>
          <w:sz w:val="32"/>
          <w:szCs w:val="32"/>
        </w:rPr>
        <w:t>级专项资金绩效目标、其他项目支出（除</w:t>
      </w:r>
      <w:r>
        <w:rPr>
          <w:rFonts w:hint="eastAsia"/>
          <w:b/>
          <w:bCs/>
          <w:sz w:val="32"/>
          <w:szCs w:val="32"/>
        </w:rPr>
        <w:t>州</w:t>
      </w:r>
      <w:r>
        <w:rPr>
          <w:rFonts w:eastAsia="楷体_GB2312"/>
          <w:b/>
          <w:bCs/>
          <w:sz w:val="32"/>
          <w:szCs w:val="32"/>
        </w:rPr>
        <w:t>级专项资金以外）绩效</w:t>
      </w:r>
      <w:r>
        <w:rPr>
          <w:rFonts w:hint="eastAsia" w:eastAsia="楷体_GB2312"/>
          <w:b/>
          <w:bCs/>
          <w:sz w:val="32"/>
          <w:szCs w:val="32"/>
        </w:rPr>
        <w:t>目标</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Style w:val="12"/>
        </w:rPr>
        <w:t xml:space="preserve"> </w:t>
      </w:r>
      <w:r>
        <w:rPr>
          <w:rStyle w:val="12"/>
          <w:rFonts w:hint="eastAsia"/>
          <w:b/>
        </w:rPr>
        <w:t>单位</w:t>
      </w:r>
      <w:r>
        <w:rPr>
          <w:rStyle w:val="12"/>
          <w:b/>
        </w:rPr>
        <w:t>年度整体支出绩效目标</w:t>
      </w:r>
      <w:r>
        <w:rPr>
          <w:rStyle w:val="12"/>
          <w:rFonts w:hint="eastAsia"/>
        </w:rPr>
        <w:t>：履行行政执法职能、维护社会经济良好秩序；打击假冒伪劣商品、维护消费者合法权益；逐步推进质量提升、严守安全监管底线；以民生计量为重点，为市场经济发展保驾护航，以能源计量为重点，大力推进节能降耗，以安全计量为重点，做好质量安全风险排查和道德领域治理工作；掌握我州的产品质量动态，为全州产品质量监督管理及质量强州战略提供技术支撑；</w:t>
      </w:r>
      <w:r>
        <w:rPr>
          <w:rFonts w:hint="eastAsia" w:ascii="仿宋_GB2312" w:hAnsi="仿宋_GB2312" w:eastAsia="仿宋_GB2312" w:cs="仿宋_GB2312"/>
          <w:sz w:val="28"/>
          <w:szCs w:val="28"/>
        </w:rPr>
        <w:t>承担全州食品、药品、保健食品、化妆品的质量监督检验，保障仪器正常运转、人员检验能力的提高。</w:t>
      </w:r>
    </w:p>
    <w:p>
      <w:pPr>
        <w:spacing w:line="540" w:lineRule="exact"/>
        <w:ind w:firstLine="560" w:firstLineChars="200"/>
        <w:rPr>
          <w:rFonts w:hint="eastAsia" w:eastAsia="楷体_GB2312"/>
          <w:bCs/>
          <w:sz w:val="28"/>
          <w:szCs w:val="28"/>
        </w:rPr>
      </w:pPr>
      <w:r>
        <w:rPr>
          <w:rFonts w:hint="eastAsia" w:ascii="仿宋_GB2312" w:hAnsi="仿宋_GB2312" w:eastAsia="仿宋_GB2312" w:cs="仿宋_GB2312"/>
          <w:sz w:val="28"/>
          <w:szCs w:val="28"/>
        </w:rPr>
        <w:t>2.</w:t>
      </w:r>
      <w:r>
        <w:rPr>
          <w:rFonts w:hint="eastAsia"/>
          <w:bCs/>
          <w:sz w:val="32"/>
          <w:szCs w:val="32"/>
        </w:rPr>
        <w:t xml:space="preserve"> </w:t>
      </w:r>
      <w:r>
        <w:rPr>
          <w:rFonts w:hint="eastAsia"/>
          <w:b/>
          <w:bCs/>
          <w:sz w:val="32"/>
          <w:szCs w:val="32"/>
        </w:rPr>
        <w:t>州</w:t>
      </w:r>
      <w:r>
        <w:rPr>
          <w:rFonts w:eastAsia="楷体_GB2312"/>
          <w:b/>
          <w:bCs/>
          <w:sz w:val="28"/>
          <w:szCs w:val="28"/>
        </w:rPr>
        <w:t>级专项资金绩效目标</w:t>
      </w:r>
      <w:r>
        <w:rPr>
          <w:rFonts w:hint="eastAsia" w:eastAsia="楷体_GB2312"/>
          <w:b/>
          <w:bCs/>
          <w:sz w:val="28"/>
          <w:szCs w:val="28"/>
        </w:rPr>
        <w:t>：</w:t>
      </w:r>
      <w:r>
        <w:rPr>
          <w:rFonts w:hint="eastAsia" w:eastAsia="仿宋_GB2312"/>
          <w:sz w:val="28"/>
          <w:szCs w:val="28"/>
        </w:rPr>
        <w:t>全面了解食品药品安全状况，在全州开展食品药品企业监管工作，加大食品药品犯罪打击力度、保障人民群众的饮食安全，加大食品药品安全宣传力度，提高食品药品安全监管能力和水平；打击经济违法违规行为，打击传销，规范行业经营行为，倡导诚信守法经营，引导市民远离传销，建立打传长效机制，保护消费者合法权益；继续推进商事制度改革，做好商事制度改革后续监管工作，维护经济稳定；保障检验工作正常开展，检验人员不断提高检验能力，逐年淘汰无法修复办公设备及小型仪器设备和仪器设备基本日常维护保养运转。</w:t>
      </w:r>
    </w:p>
    <w:p>
      <w:pPr>
        <w:ind w:firstLine="560" w:firstLineChars="200"/>
        <w:rPr>
          <w:rFonts w:eastAsia="仿宋_GB2312"/>
          <w:sz w:val="28"/>
          <w:szCs w:val="28"/>
        </w:rPr>
      </w:pPr>
      <w:r>
        <w:rPr>
          <w:rFonts w:hint="eastAsia" w:eastAsia="楷体_GB2312"/>
          <w:b/>
          <w:bCs/>
          <w:sz w:val="28"/>
          <w:szCs w:val="28"/>
        </w:rPr>
        <w:t>3.</w:t>
      </w:r>
      <w:r>
        <w:rPr>
          <w:rFonts w:eastAsia="楷体_GB2312"/>
          <w:b/>
          <w:bCs/>
          <w:sz w:val="28"/>
          <w:szCs w:val="28"/>
        </w:rPr>
        <w:t>其他项目支出（除</w:t>
      </w:r>
      <w:r>
        <w:rPr>
          <w:rFonts w:hint="eastAsia"/>
          <w:b/>
          <w:bCs/>
          <w:sz w:val="28"/>
          <w:szCs w:val="28"/>
        </w:rPr>
        <w:t>州</w:t>
      </w:r>
      <w:r>
        <w:rPr>
          <w:rFonts w:eastAsia="楷体_GB2312"/>
          <w:b/>
          <w:bCs/>
          <w:sz w:val="28"/>
          <w:szCs w:val="28"/>
        </w:rPr>
        <w:t>级专项资金以外）绩效</w:t>
      </w:r>
      <w:r>
        <w:rPr>
          <w:rFonts w:hint="eastAsia" w:eastAsia="楷体_GB2312"/>
          <w:b/>
          <w:bCs/>
          <w:sz w:val="28"/>
          <w:szCs w:val="28"/>
        </w:rPr>
        <w:t>目标：</w:t>
      </w:r>
      <w:r>
        <w:rPr>
          <w:rFonts w:hint="eastAsia" w:eastAsia="仿宋_GB2312"/>
          <w:sz w:val="28"/>
          <w:szCs w:val="28"/>
        </w:rPr>
        <w:t>完成食品安全抽样检验工作，突出重点食品监管、开展专项整治，组织对食品企业的现场检查，提高食品生产、经营许可审查质量，开展食品安全宣传周活动，分级对全州基层监管队伍进行专业知识培训，提高应急能力水平和基层装备配备水平；做好医疗器械、药品、化妆品的安全监管，保障</w:t>
      </w:r>
      <w:r>
        <w:rPr>
          <w:rFonts w:eastAsia="仿宋_GB2312"/>
          <w:sz w:val="28"/>
          <w:szCs w:val="28"/>
        </w:rPr>
        <w:t>人民群众用药安全有效</w:t>
      </w:r>
      <w:r>
        <w:rPr>
          <w:rFonts w:hint="eastAsia" w:eastAsia="仿宋_GB2312"/>
          <w:sz w:val="28"/>
          <w:szCs w:val="28"/>
        </w:rPr>
        <w:t>。</w:t>
      </w:r>
    </w:p>
    <w:p>
      <w:pPr>
        <w:spacing w:line="600" w:lineRule="exact"/>
        <w:ind w:firstLine="640" w:firstLineChars="200"/>
        <w:rPr>
          <w:rFonts w:eastAsia="黑体"/>
          <w:b/>
          <w:sz w:val="32"/>
          <w:szCs w:val="32"/>
        </w:rPr>
      </w:pPr>
      <w:r>
        <w:rPr>
          <w:rFonts w:eastAsia="黑体"/>
          <w:b/>
          <w:sz w:val="32"/>
          <w:szCs w:val="32"/>
        </w:rPr>
        <w:t>二、一般公共预算支出情况</w:t>
      </w:r>
    </w:p>
    <w:p>
      <w:pPr>
        <w:spacing w:line="600" w:lineRule="exact"/>
        <w:ind w:firstLine="643"/>
        <w:rPr>
          <w:rFonts w:eastAsia="楷体_GB2312"/>
          <w:b/>
          <w:bCs/>
          <w:sz w:val="32"/>
          <w:szCs w:val="32"/>
        </w:rPr>
      </w:pPr>
      <w:r>
        <w:rPr>
          <w:rFonts w:eastAsia="楷体_GB2312"/>
          <w:b/>
          <w:bCs/>
          <w:sz w:val="32"/>
          <w:szCs w:val="32"/>
        </w:rPr>
        <w:t>（一）基本支出情</w:t>
      </w:r>
      <w:r>
        <w:rPr>
          <w:rFonts w:hint="eastAsia" w:eastAsia="楷体_GB2312"/>
          <w:b/>
          <w:bCs/>
          <w:sz w:val="32"/>
          <w:szCs w:val="32"/>
        </w:rPr>
        <w:t>况</w:t>
      </w:r>
    </w:p>
    <w:p>
      <w:pPr>
        <w:pStyle w:val="14"/>
        <w:widowControl/>
        <w:spacing w:line="540" w:lineRule="exact"/>
        <w:ind w:firstLine="560"/>
        <w:rPr>
          <w:rFonts w:hint="eastAsia" w:ascii="仿宋_GB2312" w:hAnsi="Times New Roman" w:eastAsia="仿宋_GB2312"/>
          <w:sz w:val="28"/>
          <w:szCs w:val="28"/>
        </w:rPr>
      </w:pPr>
      <w:r>
        <w:rPr>
          <w:rFonts w:hint="eastAsia" w:ascii="仿宋_GB2312" w:hAnsi="Times New Roman" w:eastAsia="仿宋_GB2312"/>
          <w:sz w:val="28"/>
          <w:szCs w:val="28"/>
        </w:rPr>
        <w:t>基本支出用于为保障机构正常运转、完成日常工作任务而发生的支出，包括人员经费和日常公用经费。</w:t>
      </w:r>
    </w:p>
    <w:p>
      <w:pPr>
        <w:pStyle w:val="14"/>
        <w:widowControl/>
        <w:spacing w:line="540" w:lineRule="exact"/>
        <w:ind w:firstLine="560"/>
        <w:rPr>
          <w:rFonts w:hint="eastAsia" w:ascii="仿宋_GB2312" w:hAnsi="楷体" w:eastAsia="仿宋_GB2312"/>
          <w:bCs/>
          <w:sz w:val="28"/>
          <w:szCs w:val="28"/>
        </w:rPr>
      </w:pPr>
      <w:r>
        <w:rPr>
          <w:rFonts w:hint="eastAsia" w:ascii="仿宋_GB2312" w:hAnsi="Times New Roman" w:eastAsia="仿宋_GB2312"/>
          <w:sz w:val="28"/>
          <w:szCs w:val="28"/>
        </w:rPr>
        <w:t>1、2020年基本支出部门预算批复数为4400.91万元，基本支出年初结转和结余998.34万元，二者合计数为5399.25万元；部门决算基本支出合计5839.72万元，其中</w:t>
      </w:r>
      <w:r>
        <w:rPr>
          <w:rFonts w:hint="eastAsia" w:ascii="仿宋_GB2312" w:hAnsi="楷体" w:eastAsia="仿宋_GB2312"/>
          <w:bCs/>
          <w:sz w:val="28"/>
          <w:szCs w:val="28"/>
        </w:rPr>
        <w:t>人员经费4974.50万元、日常公用经费865.22万元。本年基本支出追加预算1438.81万元均为人员经费（工资调整、奖励金及抚恤金等）。</w:t>
      </w:r>
    </w:p>
    <w:p>
      <w:pPr>
        <w:pStyle w:val="14"/>
        <w:widowControl/>
        <w:spacing w:line="540" w:lineRule="exact"/>
        <w:ind w:firstLine="560"/>
        <w:rPr>
          <w:rFonts w:hint="eastAsia" w:ascii="仿宋_GB2312" w:hAnsi="Times New Roman" w:eastAsia="仿宋_GB2312"/>
          <w:sz w:val="28"/>
          <w:szCs w:val="28"/>
        </w:rPr>
      </w:pPr>
      <w:r>
        <w:rPr>
          <w:rFonts w:hint="eastAsia" w:ascii="仿宋_GB2312" w:hAnsi="楷体" w:eastAsia="仿宋_GB2312"/>
          <w:bCs/>
          <w:sz w:val="28"/>
          <w:szCs w:val="28"/>
        </w:rPr>
        <w:t>2、2020年“三公”经费部门预算批复数为183.70万元，其中公务用车购置及运行维护费92万元、公务接待费917万元；全年“三公”经费决算数47.55万元，其中：公务用车购置及运行维护费34.54万元，均为公务用车运行维护费，完成年初预算的37.54%，主要原因为现有公车19台严格执行公务用车改革节约油耗及维修费制度、实行定点加油及维修；公务接待费13.01万元，完成年初预算的27.36%，节约的原因主要为我局严格按照中央“八项规定”控制接待人数和标准，全年共接待268批次、1092人次。</w:t>
      </w:r>
    </w:p>
    <w:p>
      <w:pPr>
        <w:spacing w:line="600" w:lineRule="exact"/>
        <w:ind w:firstLine="643"/>
        <w:rPr>
          <w:rFonts w:eastAsia="楷体_GB2312"/>
          <w:b/>
          <w:bCs/>
          <w:sz w:val="32"/>
          <w:szCs w:val="32"/>
        </w:rPr>
      </w:pPr>
      <w:r>
        <w:rPr>
          <w:rFonts w:eastAsia="楷体_GB2312"/>
          <w:b/>
          <w:bCs/>
          <w:sz w:val="32"/>
          <w:szCs w:val="32"/>
        </w:rPr>
        <w:t>（二）项目支出情</w:t>
      </w:r>
      <w:r>
        <w:rPr>
          <w:rFonts w:hint="eastAsia" w:cs="宋体"/>
          <w:b/>
          <w:bCs/>
          <w:sz w:val="32"/>
          <w:szCs w:val="32"/>
        </w:rPr>
        <w:t>况</w:t>
      </w:r>
    </w:p>
    <w:p>
      <w:pPr>
        <w:widowControl/>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2020年度我局项目支出共计1077.81万元，年初结转和结余1126.78万元，年末结转和结余1406.77万元。</w:t>
      </w:r>
      <w:r>
        <w:rPr>
          <w:rFonts w:hint="eastAsia" w:ascii="仿宋_GB2312" w:hAnsi="仿宋" w:eastAsia="仿宋_GB2312" w:cs="仿宋"/>
          <w:sz w:val="28"/>
          <w:szCs w:val="28"/>
        </w:rPr>
        <w:t>主要用于市场主体管理、市场监管执法、质量认证认可、国家知识产权战略、特种设备监管、药品监管、医疗器械监管、化妆品监管、食品药品监管抽检等方面，</w:t>
      </w:r>
      <w:r>
        <w:rPr>
          <w:rFonts w:hint="eastAsia" w:ascii="仿宋_GB2312" w:eastAsia="仿宋_GB2312"/>
          <w:sz w:val="28"/>
          <w:szCs w:val="28"/>
        </w:rPr>
        <w:t>其中资本性支出214.20万元，主要用于： 房屋建筑物购建（州食药所实验室检验大楼修建）108.27万元、办公设备购置费60.33万元、专用设备购置费40.66万元、其他资本性支出1.53万元。</w:t>
      </w:r>
    </w:p>
    <w:p>
      <w:pPr>
        <w:spacing w:line="600" w:lineRule="exact"/>
        <w:ind w:firstLine="640"/>
        <w:rPr>
          <w:rFonts w:hint="eastAsia" w:ascii="仿宋_GB2312" w:eastAsia="仿宋_GB2312"/>
          <w:b/>
          <w:sz w:val="32"/>
          <w:szCs w:val="32"/>
        </w:rPr>
      </w:pPr>
      <w:r>
        <w:rPr>
          <w:rFonts w:hint="eastAsia" w:ascii="仿宋_GB2312" w:eastAsia="仿宋_GB2312"/>
          <w:b/>
          <w:sz w:val="32"/>
          <w:szCs w:val="32"/>
        </w:rPr>
        <w:t>三、</w:t>
      </w:r>
      <w:r>
        <w:rPr>
          <w:rFonts w:ascii="仿宋_GB2312" w:eastAsia="仿宋_GB2312"/>
          <w:b/>
          <w:sz w:val="32"/>
          <w:szCs w:val="32"/>
        </w:rPr>
        <w:t>政府性基金预算支出情况</w:t>
      </w:r>
    </w:p>
    <w:p>
      <w:pPr>
        <w:spacing w:line="600" w:lineRule="exact"/>
        <w:ind w:firstLine="640"/>
        <w:rPr>
          <w:rFonts w:hint="eastAsia" w:ascii="仿宋_GB2312" w:eastAsia="仿宋_GB2312"/>
          <w:sz w:val="28"/>
          <w:szCs w:val="28"/>
        </w:rPr>
      </w:pPr>
      <w:r>
        <w:rPr>
          <w:rFonts w:hint="eastAsia" w:ascii="仿宋_GB2312" w:eastAsia="仿宋_GB2312"/>
          <w:sz w:val="28"/>
          <w:szCs w:val="28"/>
        </w:rPr>
        <w:t>本单位本年无政府性基金预算及支出。</w:t>
      </w:r>
    </w:p>
    <w:p>
      <w:pPr>
        <w:spacing w:line="600" w:lineRule="exact"/>
        <w:ind w:firstLine="640"/>
        <w:rPr>
          <w:rFonts w:hint="eastAsia" w:ascii="仿宋_GB2312" w:eastAsia="仿宋_GB2312"/>
          <w:b/>
          <w:sz w:val="32"/>
          <w:szCs w:val="32"/>
        </w:rPr>
      </w:pPr>
      <w:r>
        <w:rPr>
          <w:rFonts w:ascii="仿宋_GB2312" w:eastAsia="仿宋_GB2312"/>
          <w:b/>
          <w:sz w:val="32"/>
          <w:szCs w:val="32"/>
        </w:rPr>
        <w:t>四、国有资本经营预算支出情况</w:t>
      </w:r>
    </w:p>
    <w:p>
      <w:pPr>
        <w:spacing w:line="600" w:lineRule="exact"/>
        <w:ind w:firstLine="640"/>
        <w:rPr>
          <w:rFonts w:hint="eastAsia" w:ascii="仿宋_GB2312" w:eastAsia="仿宋_GB2312"/>
          <w:b/>
          <w:sz w:val="28"/>
          <w:szCs w:val="28"/>
        </w:rPr>
      </w:pPr>
      <w:r>
        <w:rPr>
          <w:rFonts w:hint="eastAsia" w:ascii="仿宋_GB2312" w:eastAsia="仿宋_GB2312"/>
          <w:sz w:val="28"/>
          <w:szCs w:val="28"/>
        </w:rPr>
        <w:t>本单位本年无国有资本经营预算及支出。</w:t>
      </w:r>
    </w:p>
    <w:p>
      <w:pPr>
        <w:spacing w:line="600" w:lineRule="exact"/>
        <w:ind w:firstLine="640"/>
        <w:rPr>
          <w:rFonts w:ascii="仿宋_GB2312" w:eastAsia="仿宋_GB2312"/>
          <w:b/>
          <w:sz w:val="32"/>
          <w:szCs w:val="32"/>
        </w:rPr>
      </w:pPr>
      <w:r>
        <w:rPr>
          <w:rFonts w:ascii="仿宋_GB2312" w:eastAsia="仿宋_GB2312"/>
          <w:b/>
          <w:sz w:val="32"/>
          <w:szCs w:val="32"/>
        </w:rPr>
        <w:t>五、社会保险基金预算支出情况</w:t>
      </w:r>
    </w:p>
    <w:p>
      <w:pPr>
        <w:widowControl/>
        <w:spacing w:line="540" w:lineRule="exact"/>
        <w:ind w:firstLine="560" w:firstLineChars="200"/>
        <w:jc w:val="left"/>
        <w:rPr>
          <w:rFonts w:hint="eastAsia" w:ascii="仿宋_GB2312" w:eastAsia="仿宋_GB2312"/>
          <w:b/>
          <w:sz w:val="28"/>
          <w:szCs w:val="28"/>
        </w:rPr>
      </w:pPr>
      <w:r>
        <w:rPr>
          <w:rFonts w:hint="eastAsia" w:ascii="仿宋_GB2312" w:eastAsia="仿宋_GB2312"/>
          <w:sz w:val="28"/>
          <w:szCs w:val="28"/>
        </w:rPr>
        <w:t>本单位本年无社会保险基金预算及支出。</w:t>
      </w:r>
    </w:p>
    <w:p>
      <w:pPr>
        <w:widowControl/>
        <w:spacing w:line="540" w:lineRule="exact"/>
        <w:ind w:firstLine="640" w:firstLineChars="200"/>
        <w:jc w:val="left"/>
        <w:rPr>
          <w:rFonts w:hint="eastAsia" w:ascii="仿宋_GB2312" w:eastAsia="仿宋_GB2312"/>
          <w:b/>
          <w:sz w:val="32"/>
          <w:szCs w:val="32"/>
        </w:rPr>
      </w:pPr>
      <w:r>
        <w:rPr>
          <w:rFonts w:hint="eastAsia" w:ascii="仿宋_GB2312" w:eastAsia="仿宋_GB2312"/>
          <w:b/>
          <w:sz w:val="32"/>
          <w:szCs w:val="32"/>
        </w:rPr>
        <w:t>六、部门整体支出绩效情况</w:t>
      </w:r>
    </w:p>
    <w:p>
      <w:pPr>
        <w:pStyle w:val="15"/>
        <w:ind w:firstLine="560"/>
        <w:rPr>
          <w:rFonts w:hint="eastAsia"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2020年,湘西州市场监督管理局在州委、州政府和省局的正确领导下，围绕州委、州政府中心工作和省局工作部署，忠诚履职、勇于担当，统筹推进疫情防控和经济社会发展，全面完成了年度工作任务目标。具体表现在：</w:t>
      </w:r>
    </w:p>
    <w:p>
      <w:pPr>
        <w:pStyle w:val="15"/>
        <w:spacing w:line="530" w:lineRule="atLeast"/>
        <w:ind w:firstLine="640"/>
        <w:rPr>
          <w:rFonts w:ascii="仿宋_GB2312" w:eastAsia="仿宋_GB2312"/>
          <w:b/>
          <w:bCs/>
          <w:sz w:val="32"/>
          <w:szCs w:val="32"/>
        </w:rPr>
      </w:pPr>
      <w:r>
        <w:rPr>
          <w:rFonts w:hint="eastAsia" w:ascii="仿宋_GB2312" w:eastAsia="仿宋_GB2312"/>
          <w:b/>
          <w:bCs/>
          <w:sz w:val="32"/>
          <w:szCs w:val="32"/>
        </w:rPr>
        <w:t>1、助力复工复产，复苏经济发展</w:t>
      </w:r>
    </w:p>
    <w:p>
      <w:pPr>
        <w:pStyle w:val="15"/>
        <w:ind w:firstLine="560"/>
        <w:rPr>
          <w:rFonts w:hint="eastAsia" w:ascii="仿宋_GB2312" w:hAnsi="Times New Roman" w:eastAsia="仿宋_GB2312" w:cs="Times New Roman"/>
          <w:kern w:val="2"/>
          <w:sz w:val="28"/>
          <w:szCs w:val="28"/>
        </w:rPr>
      </w:pPr>
      <w:r>
        <w:rPr>
          <w:rFonts w:hint="eastAsia" w:ascii="仿宋_GB2312" w:eastAsia="仿宋_GB2312"/>
          <w:b/>
          <w:bCs/>
          <w:sz w:val="32"/>
          <w:szCs w:val="32"/>
        </w:rPr>
        <w:t>一是强化政策支持的广度。</w:t>
      </w:r>
      <w:r>
        <w:rPr>
          <w:rFonts w:hint="eastAsia" w:ascii="仿宋_GB2312" w:hAnsi="Times New Roman" w:eastAsia="仿宋_GB2312" w:cs="Times New Roman"/>
          <w:kern w:val="2"/>
          <w:sz w:val="28"/>
          <w:szCs w:val="28"/>
        </w:rPr>
        <w:t>全面贯州委州政府和省局关于疫情防控期间支持企业促生产、稳发展的系列政策举措，开通绿色通道，对药品、食品、工业品等证照到期和特种设备定期检验，实行延期或备案，为全州各类市场主体促生产、保经营、稳发展、渡难关提供各类政策支持。</w:t>
      </w:r>
      <w:r>
        <w:rPr>
          <w:rFonts w:hint="eastAsia" w:ascii="仿宋_GB2312" w:eastAsia="仿宋_GB2312"/>
          <w:b/>
          <w:bCs/>
          <w:sz w:val="32"/>
          <w:szCs w:val="32"/>
        </w:rPr>
        <w:t>二是优化服务企业的温度。</w:t>
      </w:r>
      <w:r>
        <w:rPr>
          <w:rFonts w:hint="eastAsia" w:ascii="仿宋_GB2312" w:eastAsia="仿宋_GB2312"/>
          <w:sz w:val="32"/>
          <w:szCs w:val="32"/>
        </w:rPr>
        <w:t>对</w:t>
      </w:r>
      <w:r>
        <w:rPr>
          <w:rFonts w:hint="eastAsia" w:ascii="仿宋_GB2312" w:hAnsi="Times New Roman" w:eastAsia="仿宋_GB2312" w:cs="Times New Roman"/>
          <w:kern w:val="2"/>
          <w:sz w:val="28"/>
          <w:szCs w:val="28"/>
        </w:rPr>
        <w:t>湘西机场道面工程检测、张吉怀铁路搅拌站等州内所有重点工程项目设备主动上门开展检定服务。对酒鬼酒、雪花啤酒、湘泉药业等10家重点企业的复工复产和全州1024所学校复学全程指导。为232家企业提供技术支持，免费检测产品255批次，累计减免检定校准费用278.25万元，检定校准计量器具12527（台）件。</w:t>
      </w:r>
      <w:r>
        <w:rPr>
          <w:rFonts w:hint="eastAsia" w:ascii="仿宋_GB2312" w:eastAsia="仿宋_GB2312"/>
          <w:b/>
          <w:bCs/>
          <w:sz w:val="32"/>
          <w:szCs w:val="32"/>
        </w:rPr>
        <w:t>三是加大破解融资难的力度。</w:t>
      </w:r>
      <w:r>
        <w:rPr>
          <w:rFonts w:hint="eastAsia" w:ascii="仿宋_GB2312" w:hAnsi="Times New Roman" w:eastAsia="仿宋_GB2312" w:cs="Times New Roman"/>
          <w:kern w:val="2"/>
          <w:sz w:val="28"/>
          <w:szCs w:val="28"/>
        </w:rPr>
        <w:t>联合省信用联社湘西办事处开展“党建共创、三结三促”行动，共为1.03万户“小个专”企业投放信贷61.59亿元。</w:t>
      </w:r>
    </w:p>
    <w:p>
      <w:pPr>
        <w:pStyle w:val="15"/>
        <w:spacing w:line="530" w:lineRule="atLeast"/>
        <w:ind w:firstLine="645"/>
        <w:rPr>
          <w:rFonts w:hint="eastAsia" w:ascii="仿宋_GB2312" w:eastAsia="仿宋_GB2312"/>
          <w:b/>
          <w:bCs/>
          <w:sz w:val="32"/>
          <w:szCs w:val="32"/>
        </w:rPr>
      </w:pPr>
      <w:r>
        <w:rPr>
          <w:rFonts w:hint="eastAsia" w:ascii="仿宋_GB2312" w:eastAsia="仿宋_GB2312"/>
          <w:b/>
          <w:bCs/>
          <w:sz w:val="32"/>
          <w:szCs w:val="32"/>
        </w:rPr>
        <w:t>3、全面深化改革，优化营商环境</w:t>
      </w:r>
    </w:p>
    <w:p>
      <w:pPr>
        <w:pStyle w:val="15"/>
        <w:spacing w:line="530" w:lineRule="atLeast"/>
        <w:ind w:firstLine="640"/>
        <w:rPr>
          <w:rFonts w:hint="eastAsia" w:ascii="仿宋_GB2312" w:hAnsi="Times New Roman" w:eastAsia="仿宋_GB2312" w:cs="Times New Roman"/>
          <w:kern w:val="2"/>
          <w:sz w:val="28"/>
          <w:szCs w:val="28"/>
        </w:rPr>
      </w:pPr>
      <w:r>
        <w:rPr>
          <w:rFonts w:hint="eastAsia" w:ascii="仿宋_GB2312" w:eastAsia="仿宋_GB2312"/>
          <w:b/>
          <w:bCs/>
          <w:sz w:val="32"/>
          <w:szCs w:val="32"/>
        </w:rPr>
        <w:t>一是深入推进商事制度改革。</w:t>
      </w:r>
      <w:r>
        <w:rPr>
          <w:rFonts w:hint="eastAsia" w:ascii="仿宋_GB2312" w:hAnsi="Times New Roman" w:eastAsia="仿宋_GB2312" w:cs="Times New Roman"/>
          <w:kern w:val="2"/>
          <w:sz w:val="28"/>
          <w:szCs w:val="28"/>
        </w:rPr>
        <w:t>通过全面落实“网上办、一次办、帮代办”，企业开办时间向2个工作日目标推进。电子营业执照逐步推广运用，服务满意率达到96%；第一批“证照分离”106项涉企行政审批事项实现全覆盖，行政许可事项压缩了23%；扩大简易注销适用范围，公告时间由45天压缩至20天，企业注销登记在1个工作日办结。</w:t>
      </w:r>
      <w:r>
        <w:rPr>
          <w:rFonts w:hint="eastAsia" w:ascii="仿宋_GB2312" w:eastAsia="仿宋_GB2312"/>
          <w:b/>
          <w:bCs/>
          <w:sz w:val="32"/>
          <w:szCs w:val="32"/>
        </w:rPr>
        <w:t>二是持续优化惠企利民服务。</w:t>
      </w:r>
      <w:r>
        <w:rPr>
          <w:rFonts w:hint="eastAsia" w:ascii="仿宋_GB2312" w:eastAsia="仿宋_GB2312"/>
          <w:sz w:val="32"/>
          <w:szCs w:val="32"/>
        </w:rPr>
        <w:t>先</w:t>
      </w:r>
      <w:r>
        <w:rPr>
          <w:rFonts w:hint="eastAsia" w:ascii="仿宋_GB2312" w:hAnsi="Times New Roman" w:eastAsia="仿宋_GB2312" w:cs="Times New Roman"/>
          <w:kern w:val="2"/>
          <w:sz w:val="28"/>
          <w:szCs w:val="28"/>
        </w:rPr>
        <w:t>后在湘西州经开区和全州试点推行《食品经营许可证》、《特种设备作业人员资格证》“告知承诺制”，分别由法定20个工作日和10个工作日办结缩短为当日办结</w:t>
      </w:r>
      <w:r>
        <w:rPr>
          <w:rFonts w:hint="eastAsia" w:ascii="仿宋_GB2312" w:eastAsia="仿宋_GB2312"/>
          <w:sz w:val="32"/>
          <w:szCs w:val="32"/>
        </w:rPr>
        <w:t>。</w:t>
      </w:r>
      <w:r>
        <w:rPr>
          <w:rFonts w:hint="eastAsia" w:ascii="仿宋_GB2312" w:eastAsia="仿宋_GB2312"/>
          <w:b/>
          <w:bCs/>
          <w:sz w:val="32"/>
          <w:szCs w:val="32"/>
        </w:rPr>
        <w:t>三是全面推进监管机制改革。</w:t>
      </w:r>
      <w:r>
        <w:rPr>
          <w:rFonts w:hint="eastAsia" w:ascii="仿宋_GB2312" w:hAnsi="Times New Roman" w:eastAsia="仿宋_GB2312" w:cs="Times New Roman"/>
          <w:kern w:val="2"/>
          <w:sz w:val="28"/>
          <w:szCs w:val="28"/>
        </w:rPr>
        <w:t>稳步推进“互联网+监管”工作，跨部门联合“双随机、一公开”监管平台上线运行。加强事中事后监管，全面贯彻实施信用激励和失信联合惩戒，提升国家信用信息监管平台应用率。截至11月，全州2019年度企业年报率达87%，超额完成省局下达年度目标任务。新增列入经营异常名录2770户，新增列入严重违法失信企业619户，累计吊销“僵尸企业”8769户；协助法院司法冻结146起，冻结股权14.59亿。营商环境的进一步优化，带动市场主体数的快速增长。截至11月30日，全州累计各类市场主体突破14万户，达到14.75万户，同比增长12.32%。新增各类市场主体2.14万户。</w:t>
      </w:r>
    </w:p>
    <w:p>
      <w:pPr>
        <w:pStyle w:val="15"/>
        <w:spacing w:line="530" w:lineRule="atLeast"/>
        <w:ind w:firstLine="640"/>
        <w:rPr>
          <w:rFonts w:hint="eastAsia" w:ascii="仿宋_GB2312" w:eastAsia="仿宋_GB2312"/>
          <w:b/>
          <w:bCs/>
          <w:sz w:val="32"/>
          <w:szCs w:val="32"/>
        </w:rPr>
      </w:pPr>
      <w:r>
        <w:rPr>
          <w:rFonts w:hint="eastAsia" w:ascii="仿宋_GB2312" w:eastAsia="仿宋_GB2312"/>
          <w:b/>
          <w:bCs/>
          <w:sz w:val="32"/>
          <w:szCs w:val="32"/>
        </w:rPr>
        <w:t>4、坚持依法行政，守牢安全底线</w:t>
      </w:r>
    </w:p>
    <w:p>
      <w:pPr>
        <w:pStyle w:val="15"/>
        <w:spacing w:line="530" w:lineRule="atLeast"/>
        <w:ind w:firstLine="645"/>
        <w:rPr>
          <w:rFonts w:hint="eastAsia" w:ascii="Times New Roman" w:hAnsi="Times New Roman" w:eastAsia="仿宋_GB2312" w:cs="Times New Roman"/>
          <w:kern w:val="2"/>
          <w:sz w:val="28"/>
          <w:szCs w:val="28"/>
        </w:rPr>
      </w:pPr>
      <w:r>
        <w:rPr>
          <w:rFonts w:hint="eastAsia" w:ascii="仿宋_GB2312" w:eastAsia="仿宋_GB2312"/>
          <w:b/>
          <w:bCs/>
          <w:sz w:val="28"/>
          <w:szCs w:val="28"/>
        </w:rPr>
        <w:t>一是筑牢“四品一械”安全防线。</w:t>
      </w:r>
      <w:r>
        <w:rPr>
          <w:rFonts w:hint="eastAsia" w:ascii="仿宋_GB2312" w:eastAsia="仿宋_GB2312"/>
          <w:sz w:val="32"/>
          <w:szCs w:val="32"/>
        </w:rPr>
        <w:t>牢固树立“强执法、保安全”监管理念，切实强化安全风险管控。强化从田间地头到餐桌各环节链条管理，深入开展</w:t>
      </w:r>
      <w:r>
        <w:rPr>
          <w:rFonts w:hint="eastAsia" w:ascii="仿宋" w:hAnsi="仿宋" w:eastAsia="仿宋"/>
          <w:sz w:val="32"/>
          <w:szCs w:val="32"/>
        </w:rPr>
        <w:t>“</w:t>
      </w:r>
      <w:r>
        <w:rPr>
          <w:rFonts w:hint="eastAsia" w:ascii="Times New Roman" w:hAnsi="Times New Roman" w:eastAsia="仿宋_GB2312" w:cs="Times New Roman"/>
          <w:kern w:val="2"/>
          <w:sz w:val="28"/>
          <w:szCs w:val="28"/>
        </w:rPr>
        <w:t>年关守护（2020）”、食品安全隐患排查整治“百日行动”、 网络食品安全“网剑”行动、“护苗”、“护老”、“固体饮料”、 冷链食品等12个专项行动。共查处食品违法案件351件，罚没385.79万元。全州食品及食用农产品抽检任务数8626批次，完成食品抽检516批次，食用农产品抽检8110 批次，抽检率达 100%。推进“明厨亮灶”工程，实现州直管校园食堂“明厨亮灶”的全覆盖。组织开展中药饮片质量集中整治工作和药品、化妆品、医疗器械的风险防控百日集中整治行动，全面实现了监督检查企业的100%全覆盖。推动开展全州药品信息化追溯体系建设和迎接疫苗国家监管体系评估工作，在永顺县试点搭建药品智能监控平台。强化不良反应中心监测，上报药品、化妆品不良反应和医疗器械、药物滥用报告共计3845份，超额完成省定年度任务。全州未发生源发性、系统性、区域性的食品药品安全事故。</w:t>
      </w:r>
      <w:r>
        <w:rPr>
          <w:rFonts w:hint="eastAsia" w:ascii="仿宋_GB2312" w:eastAsia="仿宋_GB2312"/>
          <w:b/>
          <w:bCs/>
          <w:sz w:val="28"/>
          <w:szCs w:val="28"/>
        </w:rPr>
        <w:t>二是严抓产品质量安全</w:t>
      </w:r>
      <w:r>
        <w:rPr>
          <w:rFonts w:hint="eastAsia" w:ascii="Times New Roman" w:hAnsi="Times New Roman" w:eastAsia="仿宋_GB2312" w:cs="Times New Roman"/>
          <w:kern w:val="2"/>
          <w:sz w:val="28"/>
          <w:szCs w:val="28"/>
        </w:rPr>
        <w:t>。推行生产经营企业“质量承诺制”。对汽柴油、烟花爆竹、儿童学生用品等民生重点消费品产品加强质量抽检和市场专项整治。截至目前，已完成538个产品批次，完成率109%，超额完成任务。配合省局省级产品质量监督检查抽查，发现53个批次品种产品质量违法行为，依法整改53件，抽查不合格后处理完成率100%。</w:t>
      </w:r>
      <w:r>
        <w:rPr>
          <w:rFonts w:hint="eastAsia" w:ascii="仿宋_GB2312" w:eastAsia="仿宋_GB2312"/>
          <w:b/>
          <w:bCs/>
          <w:sz w:val="28"/>
          <w:szCs w:val="28"/>
        </w:rPr>
        <w:t>三是严守特种设备安全。</w:t>
      </w:r>
      <w:r>
        <w:rPr>
          <w:rFonts w:hint="eastAsia" w:ascii="Times New Roman" w:hAnsi="Times New Roman" w:eastAsia="仿宋_GB2312" w:cs="Times New Roman"/>
          <w:kern w:val="2"/>
          <w:sz w:val="28"/>
          <w:szCs w:val="28"/>
        </w:rPr>
        <w:t>州委书记叶红专，常务副州长刘珍瑜，分管副州长向清平多次现场调研并听取特种设备安全工作汇报。以吉首市为试点，积极开展电梯应急平台建设，建立了电梯应急救援指挥中心，组建救援队伍。以基层所(分局)为基本网格单元，建立“监管有网、网中有格、格中有人、人有职责”的四级网格化安全监管体系。对全州30余万只液化石油气钢瓶纳入信息化管理平台系统，初步建成气瓶安全监管体系。试点推行特种设备安全责任险。举办特种设备安全知识进校园和“安全乘梯幸福回家”校园绘画比赛活动。加强对特种设备人员的培训工作。组织开展特种设备安全专项治理，共检查企业721家，检查设备5587台，排查治理安全隐患870台。</w:t>
      </w:r>
    </w:p>
    <w:p>
      <w:pPr>
        <w:pStyle w:val="15"/>
        <w:spacing w:line="530" w:lineRule="atLeast"/>
        <w:ind w:firstLine="645"/>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截至11月，全州共查处案件1213件，其中州本级共立案查处310件，办结297件，行政处罚案件办结率95.81%。办理24件行政指导案件，占比8.08%。</w:t>
      </w:r>
    </w:p>
    <w:p>
      <w:pPr>
        <w:pStyle w:val="15"/>
        <w:spacing w:line="530" w:lineRule="atLeast"/>
        <w:ind w:firstLine="640"/>
        <w:rPr>
          <w:rFonts w:hint="eastAsia" w:ascii="仿宋_GB2312" w:eastAsia="仿宋_GB2312"/>
          <w:b/>
          <w:bCs/>
          <w:sz w:val="32"/>
          <w:szCs w:val="32"/>
        </w:rPr>
      </w:pPr>
      <w:r>
        <w:rPr>
          <w:rFonts w:hint="eastAsia" w:ascii="仿宋_GB2312" w:eastAsia="仿宋_GB2312"/>
          <w:b/>
          <w:bCs/>
          <w:sz w:val="32"/>
          <w:szCs w:val="32"/>
        </w:rPr>
        <w:t>5、严格监管执法，维护市场秩序</w:t>
      </w:r>
    </w:p>
    <w:p>
      <w:pPr>
        <w:pStyle w:val="15"/>
        <w:spacing w:line="530" w:lineRule="atLeast"/>
        <w:ind w:firstLine="640"/>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一是加强价费执法监管。加强涉企收费、转供电、商业银行收费等重点民生领域和重点行业的收费检查，组织开展中介脱钩清理，严查民生领域价费违法行为，共查处价格违法案件21件。二是聚焦反垄断反不正当竞争执法。加大汽车销售强制保险、燃气具捆绑销售、商业混淆销售酒品等不正当竞争行为查处力度，持续抓好规范直销和打击传销工作。加大反垄断和公平竞争审查力度，共清理文件114件，废止11件，修订6件。三是牵头抓好两项整治。牵头抓好全州旅游市场和广告两个专项整治，对霸王条款、欺客宰客等违法违规行为进行了重拳打击，对户外广告标语标牌进行逐一规范，促进了全域旅游的提质升级，受到了州委州政府的充分肯定。四是加强消费维权保护。开展了3·15国际消费者权益日系列活动，销毁价值近175余万元的假冒伪劣产品。全州12315平台受理咨询投诉举报8197件，同比增长24.73%，处理消费争议金额215.76万元，为消费者挽回经济损失156.35万元。五是加强专项执法整治。建立集贸市场和超市电子秤动态监管机制。开展加油站计量专项监督巡查和检查。累计巡查加油站116家次，检查燃油加油机364台。组织开展口罩、防护服等防疫用品领域认证监管和污染防治攻坚“夏季攻势”认证专项整治行动和知识产权 “铁拳” 执法行动，积极开展打击市场销售长江流域重点水域非法捕捞渔获专项行动。</w:t>
      </w:r>
    </w:p>
    <w:p>
      <w:pPr>
        <w:pStyle w:val="15"/>
        <w:spacing w:line="530" w:lineRule="atLeast"/>
        <w:ind w:firstLine="640"/>
        <w:rPr>
          <w:rFonts w:hint="eastAsia" w:ascii="仿宋_GB2312" w:eastAsia="仿宋_GB2312"/>
          <w:b/>
          <w:bCs/>
          <w:sz w:val="32"/>
          <w:szCs w:val="32"/>
        </w:rPr>
      </w:pPr>
      <w:r>
        <w:rPr>
          <w:rFonts w:hint="eastAsia" w:ascii="仿宋_GB2312" w:eastAsia="仿宋_GB2312"/>
          <w:b/>
          <w:bCs/>
          <w:sz w:val="32"/>
          <w:szCs w:val="32"/>
        </w:rPr>
        <w:t>6、强化创品夺牌，提升发展质量</w:t>
      </w:r>
    </w:p>
    <w:p>
      <w:pPr>
        <w:pStyle w:val="15"/>
        <w:spacing w:line="530" w:lineRule="atLeast"/>
        <w:ind w:firstLine="640"/>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一是质量强州成效显著。率先在市州层面出台政府质量工作考核实施方案，启动第三届州长质量奖评审工作，持续开展质量提升行动。修订《湘西自治州品牌管理办法》（送审稿），提请十四届州人民政府第70次常务会审议。完成神秘湘西、边城、十八洞三个系列商标保护性注册，“保靖黄金茶”争创驰名商标申报工作全面启动。二是知识产权兴州结出硕果。挂牌成立了湘西州知识产权局。《新型复合棒状镀膜电解锌阳极板研究》通过验收，获得两项国家专利。与吉首大学联合申报研究生创新实践基地并启动开展《黄金抹茶碱液浸泡蒸青护绿的工艺优化》项目研究。酒鬼酒有限公司通过国家知识产权局优势企业复核，弘湘醋业获得国家知识产权局优势企业。全州申报知识产权专项项目21个，获批立项11个，申请专利1017件，申请国外专利（PCT)3件，实现零的突破。以承办湖南省地理标志专用标志启用仪式为契机，大力开展商标兴农、助农、富农建设。古丈毛尖和保靖黄金茶纳入了中欧“100+100”国际地理标志互认互保范围。截至11月，全州一般商品有效商标注册量11595件，同比增加2173件，增长23%。联合扶贫办、驻村办开展的“一村一商标”工程在全州1110个贫困村的覆盖率达95%。三是标准化战略实施有序推进。编制《电解锰中氧含量的测定与等级评定研究》任务项目书。修订《苗族服饰 第二部分：花保式》、《苗族服饰 第三部分：吉泸式》2项湖南省地方标准。《中药饮片泡制规范修订》、《永顺莓茶地方标准研究》、《复方桐叶烧伤油提升标准》获得立项批复。湖南东方红住宅工业有限公司《装配式建筑工业标准化试点》项目通过验收。吉首市湘西烽火苗疆茶旅融合发展农业标准化示范区和保靖县绿色蔬菜产业扶贫农业标准化示范区2项湖南省标准化战略项目均已获批。</w:t>
      </w:r>
    </w:p>
    <w:p>
      <w:pPr>
        <w:spacing w:line="540" w:lineRule="exact"/>
        <w:ind w:firstLine="560" w:firstLineChars="200"/>
        <w:rPr>
          <w:rFonts w:hint="eastAsia" w:eastAsia="仿宋_GB2312"/>
          <w:sz w:val="28"/>
          <w:szCs w:val="28"/>
        </w:rPr>
      </w:pPr>
      <w:r>
        <w:rPr>
          <w:rFonts w:hint="eastAsia" w:eastAsia="仿宋_GB2312"/>
          <w:sz w:val="28"/>
          <w:szCs w:val="28"/>
        </w:rPr>
        <w:t>总之，2020年我局整体工作取得很好成效：荣获：“五个文明”绩效考核执法监督类一类单位、湖南省文明标兵单位”，“湖南省园林式单位”，“全省消费教育指导突出单位”，“全省特种设备安全监察工作优秀单位”，全省安全监管执法排名第一，州政府目标管理优秀单位，全州民族团结进步创建优秀单位，州安全生产和消防工作、信访维稳、美丽湘西建设、平安建设优秀单位等系列荣誉。</w:t>
      </w:r>
    </w:p>
    <w:p>
      <w:pPr>
        <w:spacing w:line="540" w:lineRule="exact"/>
        <w:ind w:firstLine="640" w:firstLineChars="200"/>
        <w:rPr>
          <w:rFonts w:hint="eastAsia" w:eastAsia="黑体"/>
          <w:b/>
          <w:sz w:val="32"/>
          <w:szCs w:val="32"/>
        </w:rPr>
      </w:pPr>
      <w:r>
        <w:rPr>
          <w:rFonts w:hint="eastAsia" w:eastAsia="黑体"/>
          <w:b/>
          <w:sz w:val="32"/>
          <w:szCs w:val="32"/>
        </w:rPr>
        <w:t>七、综合评价情况及评价结论</w:t>
      </w:r>
    </w:p>
    <w:p>
      <w:pPr>
        <w:widowControl/>
        <w:spacing w:line="5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附件3州级预算部门整体支出绩效自评表测算，本单位部门整体支出绩效评价得分是91分，评价结果等次为“优”。其中：年度资金总额得分8分、产出指标得分43分、效益指标得分30分、满意度指标得分10分，扣分项目为：年度资金总额执行率为144.29%，满分10分扣2分，是由于本级和上级追加资金较多，其中中央和省局专项经费585万元未纳入年初预算，本级财政发放各种政策性奖励金876万元由财政统一安排预算；质量指标预算完成率75.07%，未达到年初指标值90%以上，满分5分扣2分；时效指标中指标1政府采购率为68.47%，未达到年初指标值90%以上， 满分10分扣5分。</w:t>
      </w:r>
    </w:p>
    <w:p>
      <w:pPr>
        <w:spacing w:line="540" w:lineRule="exact"/>
        <w:ind w:firstLine="640" w:firstLineChars="200"/>
        <w:rPr>
          <w:rFonts w:hint="eastAsia" w:eastAsia="黑体"/>
          <w:b/>
          <w:sz w:val="32"/>
          <w:szCs w:val="32"/>
        </w:rPr>
      </w:pPr>
      <w:r>
        <w:rPr>
          <w:rFonts w:hint="eastAsia" w:eastAsia="黑体"/>
          <w:b/>
          <w:sz w:val="32"/>
          <w:szCs w:val="32"/>
        </w:rPr>
        <w:t>八、主要经验做法、存在的问题及原因分析</w:t>
      </w:r>
    </w:p>
    <w:p>
      <w:pPr>
        <w:widowControl/>
        <w:spacing w:line="540" w:lineRule="exact"/>
        <w:ind w:left="6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1、主要经验做法</w:t>
      </w:r>
    </w:p>
    <w:p>
      <w:pPr>
        <w:widowControl/>
        <w:spacing w:line="540" w:lineRule="exact"/>
        <w:ind w:firstLine="560"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本次自评的目的是了解本单位2020年度财政资金预算支出的绩效状况，为今后预算安排提供决策支持。进一步增强本单位支出管理的责任，优化支出结构，保障更好地履行职责，提高财政资金使用效益，更好的维护社会主义市场经济秩序，</w:t>
      </w:r>
      <w:r>
        <w:rPr>
          <w:rFonts w:hint="eastAsia" w:ascii="仿宋_GB2312" w:hAnsi="宋体" w:eastAsia="仿宋_GB2312" w:cs="宋体"/>
          <w:kern w:val="0"/>
          <w:sz w:val="28"/>
          <w:szCs w:val="28"/>
        </w:rPr>
        <w:t>保护经营者、消费者合法权益</w:t>
      </w:r>
      <w:r>
        <w:rPr>
          <w:rFonts w:hint="eastAsia" w:ascii="仿宋_GB2312" w:hAnsi="仿宋_GB2312" w:eastAsia="仿宋_GB2312" w:cs="仿宋_GB2312"/>
          <w:sz w:val="28"/>
          <w:szCs w:val="28"/>
        </w:rPr>
        <w:t>。通过对2020年度部门整体支出绩效自评，我们认识到，绩效管理不只是财政支出方面，而应更加注重产出及效率，这样，有利于我们强化支出的责任，提高财政资金的使用效益，更好地促进我们履行职责。绩效预算管理也不指是预算部门甚至不只是财政部门的事，各单位、各部门应该共同重视。通过对本单位2020年度的财政资金绩效自评，我们为今后的工作积累了一定的经验。</w:t>
      </w:r>
    </w:p>
    <w:p>
      <w:pPr>
        <w:widowControl/>
        <w:spacing w:line="540" w:lineRule="exact"/>
        <w:ind w:left="600"/>
        <w:jc w:val="left"/>
        <w:rPr>
          <w:rFonts w:hint="eastAsia" w:eastAsia="仿宋_GB2312"/>
          <w:b/>
          <w:sz w:val="28"/>
          <w:szCs w:val="28"/>
        </w:rPr>
      </w:pPr>
      <w:r>
        <w:rPr>
          <w:rFonts w:hint="eastAsia" w:ascii="仿宋_GB2312" w:hAnsi="仿宋_GB2312" w:eastAsia="仿宋_GB2312" w:cs="仿宋_GB2312"/>
          <w:b/>
          <w:bCs/>
          <w:sz w:val="28"/>
          <w:szCs w:val="28"/>
        </w:rPr>
        <w:t>2、存在的主要问题及原因分析</w:t>
      </w:r>
    </w:p>
    <w:p>
      <w:pPr>
        <w:numPr>
          <w:ilvl w:val="0"/>
          <w:numId w:val="2"/>
        </w:num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年初预算数较低，年初编制的预算不够精确，年内预算追加较大，预算执行率较低。</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（2）部分科室和人员对绩效管理重视程度不够， 绩效管理观念淡漠。</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eastAsia="仿宋_GB2312"/>
          <w:sz w:val="28"/>
          <w:szCs w:val="28"/>
        </w:rPr>
        <w:t>预算执行缺乏强有力的约束机制。2020年度本单位预算完成率</w:t>
      </w:r>
      <w:r>
        <w:rPr>
          <w:rFonts w:hint="eastAsia" w:eastAsia="仿宋_GB2312"/>
          <w:sz w:val="28"/>
          <w:szCs w:val="28"/>
        </w:rPr>
        <w:t>75.07</w:t>
      </w:r>
      <w:r>
        <w:rPr>
          <w:rFonts w:hint="eastAsia" w:ascii="仿宋_GB2312" w:eastAsia="仿宋_GB2312"/>
          <w:sz w:val="28"/>
          <w:szCs w:val="28"/>
        </w:rPr>
        <w:t>%，缺乏强有力的约束机制，预算执行不到位。</w:t>
      </w:r>
    </w:p>
    <w:p>
      <w:pPr>
        <w:widowControl/>
        <w:spacing w:line="540" w:lineRule="exact"/>
        <w:ind w:firstLine="640" w:firstLineChars="200"/>
        <w:jc w:val="left"/>
        <w:rPr>
          <w:rFonts w:hint="eastAsia" w:eastAsia="黑体"/>
          <w:b/>
          <w:sz w:val="32"/>
          <w:szCs w:val="32"/>
        </w:rPr>
      </w:pPr>
      <w:r>
        <w:rPr>
          <w:rFonts w:hint="eastAsia" w:eastAsia="黑体"/>
          <w:b/>
          <w:sz w:val="32"/>
          <w:szCs w:val="32"/>
        </w:rPr>
        <w:t>九、有关建议</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（1）建议加强政策学习，提高思想认识。</w:t>
      </w:r>
      <w:r>
        <w:rPr>
          <w:rFonts w:hint="eastAsia" w:ascii="仿宋_GB2312" w:hAnsi="仿宋_GB2312" w:eastAsia="仿宋_GB2312" w:cs="仿宋_GB2312"/>
          <w:sz w:val="28"/>
          <w:szCs w:val="28"/>
        </w:rPr>
        <w:t>组织单位人员认真学习《预算法》等相关法规、制度，提高单位领导对全面预算管理、绩效管理的重视程度，增强财务人员的预算意识，坚持先有预算、后有支出，没有预算不得支出的支出理念。</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（2）建议细化预算指标，提高预算科学性</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widowControl/>
        <w:spacing w:line="540" w:lineRule="exact"/>
        <w:ind w:firstLine="640" w:firstLineChars="200"/>
        <w:jc w:val="left"/>
        <w:rPr>
          <w:rFonts w:hint="eastAsia" w:eastAsia="黑体"/>
          <w:b/>
          <w:sz w:val="32"/>
          <w:szCs w:val="32"/>
        </w:rPr>
      </w:pPr>
      <w:r>
        <w:rPr>
          <w:rFonts w:hint="eastAsia" w:eastAsia="黑体"/>
          <w:b/>
          <w:sz w:val="32"/>
          <w:szCs w:val="32"/>
        </w:rPr>
        <w:t>十</w:t>
      </w:r>
      <w:r>
        <w:rPr>
          <w:rFonts w:eastAsia="黑体"/>
          <w:b/>
          <w:sz w:val="32"/>
          <w:szCs w:val="32"/>
        </w:rPr>
        <w:t>、绩效自评结果拟应用和公开情况</w:t>
      </w:r>
    </w:p>
    <w:p>
      <w:pPr>
        <w:ind w:firstLine="560" w:firstLineChars="200"/>
        <w:rPr>
          <w:rFonts w:hint="eastAsia" w:hAnsi="仿宋_GB2312" w:eastAsia="仿宋_GB2312" w:cs="仿宋_GB2312"/>
          <w:sz w:val="28"/>
          <w:szCs w:val="28"/>
        </w:rPr>
      </w:pPr>
      <w:r>
        <w:rPr>
          <w:rFonts w:hint="eastAsia" w:hAnsi="仿宋_GB2312" w:eastAsia="仿宋_GB2312" w:cs="仿宋_GB2312"/>
          <w:sz w:val="28"/>
          <w:szCs w:val="28"/>
        </w:rPr>
        <w:t>本次自评的目的是了解本单位</w:t>
      </w:r>
      <w:r>
        <w:rPr>
          <w:rFonts w:hint="eastAsia" w:eastAsia="仿宋_GB2312" w:cs="仿宋_GB2312"/>
          <w:sz w:val="28"/>
          <w:szCs w:val="28"/>
        </w:rPr>
        <w:t>2020年</w:t>
      </w:r>
      <w:r>
        <w:rPr>
          <w:rFonts w:hint="eastAsia" w:hAnsi="仿宋_GB2312" w:eastAsia="仿宋_GB2312" w:cs="仿宋_GB2312"/>
          <w:sz w:val="28"/>
          <w:szCs w:val="28"/>
        </w:rPr>
        <w:t>度财政资金预算支出的绩效状况，为今后预算安排提供决策支持，便于进一步增强本单位支出管理的责任，优化支出结构，保障更好地履行职责，提高财政资金使用效益，更好的维护社会主义市场经济秩序，</w:t>
      </w:r>
      <w:r>
        <w:rPr>
          <w:rFonts w:hint="eastAsia" w:eastAsia="仿宋_GB2312" w:cs="宋体"/>
          <w:sz w:val="28"/>
          <w:szCs w:val="28"/>
        </w:rPr>
        <w:t>保护经营者、消费者合法权益</w:t>
      </w:r>
      <w:r>
        <w:rPr>
          <w:rFonts w:hint="eastAsia" w:hAnsi="仿宋_GB2312" w:eastAsia="仿宋_GB2312" w:cs="仿宋_GB2312"/>
          <w:sz w:val="28"/>
          <w:szCs w:val="28"/>
        </w:rPr>
        <w:t>。</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本次绩效评价结果将按相关规定于6月30日前在单位门户网站上予以公开。</w:t>
      </w:r>
    </w:p>
    <w:p>
      <w:pPr>
        <w:widowControl/>
        <w:spacing w:line="540" w:lineRule="exact"/>
        <w:ind w:firstLine="640" w:firstLineChars="200"/>
        <w:jc w:val="left"/>
        <w:rPr>
          <w:rFonts w:eastAsia="黑体"/>
          <w:b/>
          <w:sz w:val="32"/>
          <w:szCs w:val="32"/>
        </w:rPr>
      </w:pPr>
      <w:r>
        <w:rPr>
          <w:rFonts w:hint="eastAsia" w:eastAsia="黑体"/>
          <w:b/>
          <w:sz w:val="32"/>
          <w:szCs w:val="32"/>
        </w:rPr>
        <w:t>十一</w:t>
      </w:r>
      <w:r>
        <w:rPr>
          <w:rFonts w:eastAsia="黑体"/>
          <w:b/>
          <w:sz w:val="32"/>
          <w:szCs w:val="32"/>
        </w:rPr>
        <w:t>、其他需要说明的情况</w:t>
      </w:r>
    </w:p>
    <w:p>
      <w:pPr>
        <w:ind w:firstLine="709"/>
        <w:rPr>
          <w:rFonts w:hint="eastAsia" w:ascii="仿宋_GB2312" w:hAnsi="仿宋" w:eastAsia="仿宋_GB2312" w:cs="仿宋"/>
          <w:bCs/>
          <w:color w:val="000000"/>
          <w:sz w:val="28"/>
          <w:szCs w:val="28"/>
        </w:rPr>
      </w:pPr>
      <w:r>
        <w:rPr>
          <w:rFonts w:hint="eastAsia" w:ascii="仿宋_GB2312" w:hAnsi="仿宋" w:eastAsia="仿宋_GB2312" w:cs="仿宋"/>
          <w:bCs/>
          <w:color w:val="000000"/>
          <w:sz w:val="28"/>
          <w:szCs w:val="28"/>
        </w:rPr>
        <w:t>1、本单位湘西州市场监督管理局为2019年新设立行政机关，</w:t>
      </w:r>
      <w:r>
        <w:rPr>
          <w:rFonts w:hint="eastAsia" w:ascii="仿宋_GB2312" w:hAnsi="楷体" w:eastAsia="仿宋_GB2312"/>
          <w:bCs/>
          <w:sz w:val="28"/>
          <w:szCs w:val="28"/>
        </w:rPr>
        <w:t xml:space="preserve"> 2019年2月由</w:t>
      </w:r>
      <w:r>
        <w:rPr>
          <w:rFonts w:hint="eastAsia" w:ascii="仿宋_GB2312" w:hAnsi="仿宋" w:eastAsia="仿宋_GB2312" w:cs="仿宋"/>
          <w:bCs/>
          <w:color w:val="000000"/>
          <w:sz w:val="28"/>
          <w:szCs w:val="28"/>
        </w:rPr>
        <w:t>原州工商行政管理局、州质量技术监督局、州食品药品监督管理局合并而成，所以2019年预算数为原三个单位数据合并而得。</w:t>
      </w:r>
      <w:r>
        <w:rPr>
          <w:rFonts w:hint="eastAsia" w:ascii="仿宋_GB2312" w:hAnsi="楷体" w:eastAsia="仿宋_GB2312"/>
          <w:bCs/>
          <w:sz w:val="28"/>
          <w:szCs w:val="28"/>
        </w:rPr>
        <w:t>2020年先后将州价格监督检查局、州商务综合执法支队、</w:t>
      </w:r>
      <w:r>
        <w:rPr>
          <w:rFonts w:hint="eastAsia" w:ascii="仿宋_GB2312" w:hAnsi="仿宋_GB2312" w:eastAsia="仿宋_GB2312" w:cs="仿宋_GB2312"/>
          <w:sz w:val="28"/>
          <w:szCs w:val="28"/>
        </w:rPr>
        <w:t>州质量技术监督信息管理所</w:t>
      </w:r>
      <w:r>
        <w:rPr>
          <w:rFonts w:hint="eastAsia" w:ascii="仿宋_GB2312" w:hAnsi="楷体" w:eastAsia="仿宋_GB2312"/>
          <w:bCs/>
          <w:sz w:val="28"/>
          <w:szCs w:val="28"/>
        </w:rPr>
        <w:t>合并进来，因此2</w:t>
      </w:r>
      <w:r>
        <w:rPr>
          <w:rFonts w:hint="eastAsia" w:ascii="仿宋_GB2312" w:hAnsi="仿宋" w:eastAsia="仿宋_GB2312" w:cs="仿宋"/>
          <w:bCs/>
          <w:color w:val="000000"/>
          <w:sz w:val="28"/>
          <w:szCs w:val="28"/>
        </w:rPr>
        <w:t>020年预算包括州市场监督管理局和合并进来的2个单位预算（合并进来的</w:t>
      </w:r>
      <w:r>
        <w:rPr>
          <w:rFonts w:hint="eastAsia" w:ascii="仿宋_GB2312" w:hAnsi="仿宋_GB2312" w:eastAsia="仿宋_GB2312" w:cs="仿宋_GB2312"/>
          <w:sz w:val="28"/>
          <w:szCs w:val="28"/>
        </w:rPr>
        <w:t>州质量技术监督信息管理所原本就为局下属独立核算二级机构），2020年</w:t>
      </w:r>
      <w:r>
        <w:rPr>
          <w:rFonts w:hint="eastAsia" w:ascii="仿宋_GB2312" w:hAnsi="仿宋" w:eastAsia="仿宋_GB2312" w:cs="仿宋"/>
          <w:bCs/>
          <w:color w:val="000000"/>
          <w:sz w:val="28"/>
          <w:szCs w:val="28"/>
        </w:rPr>
        <w:t>决算报表中已包含本年合并进来的3个单位数据。</w:t>
      </w:r>
    </w:p>
    <w:p>
      <w:pPr>
        <w:rPr>
          <w:rFonts w:hint="eastAsia" w:ascii="仿宋_GB2312" w:hAnsi="仿宋" w:eastAsia="仿宋_GB2312"/>
          <w:sz w:val="28"/>
          <w:szCs w:val="28"/>
        </w:rPr>
      </w:pPr>
      <w:r>
        <w:rPr>
          <w:rFonts w:hint="eastAsia" w:ascii="仿宋_GB2312" w:eastAsia="仿宋_GB2312" w:cs="楷体_GB2312"/>
          <w:sz w:val="28"/>
          <w:szCs w:val="28"/>
        </w:rPr>
        <w:t xml:space="preserve">    2、人员情况说明：</w:t>
      </w:r>
      <w:r>
        <w:rPr>
          <w:rFonts w:hint="eastAsia" w:ascii="仿宋_GB2312" w:hAnsi="仿宋" w:eastAsia="仿宋_GB2312"/>
          <w:sz w:val="28"/>
          <w:szCs w:val="28"/>
        </w:rPr>
        <w:t>由于2020年我局处于机构改革期间，从2019年至今一直有人员异动，单位基本信息表为2021年2月上报决算时的编制和实有人数， 2020年12月底我局实际编制数为314名，实有人数为295人（含州纪委派驻组人员4名）。</w:t>
      </w:r>
    </w:p>
    <w:p>
      <w:pPr>
        <w:spacing w:line="580" w:lineRule="exact"/>
        <w:ind w:firstLine="560" w:firstLineChars="20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                            </w:t>
      </w:r>
      <w:bookmarkStart w:id="3" w:name="_GoBack"/>
      <w:bookmarkEnd w:id="3"/>
      <w:r>
        <w:rPr>
          <w:rFonts w:hint="eastAsia" w:ascii="仿宋_GB2312" w:hAnsi="仿宋_GB2312" w:eastAsia="仿宋_GB2312" w:cs="仿宋_GB2312"/>
          <w:sz w:val="28"/>
          <w:szCs w:val="28"/>
        </w:rPr>
        <w:t xml:space="preserve"> 2020年6月18日</w:t>
      </w:r>
    </w:p>
    <w:sectPr>
      <w:pgSz w:w="11906" w:h="16838"/>
      <w:pgMar w:top="607" w:right="720" w:bottom="607" w:left="720"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宋体 (正文)">
    <w:altName w:val="宋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1"/>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930" w:hanging="72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32133E4"/>
    <w:rsid w:val="0366617A"/>
    <w:rsid w:val="043E047E"/>
    <w:rsid w:val="06F17048"/>
    <w:rsid w:val="08D4046D"/>
    <w:rsid w:val="0D6364E9"/>
    <w:rsid w:val="0E225947"/>
    <w:rsid w:val="0E744193"/>
    <w:rsid w:val="0F160189"/>
    <w:rsid w:val="11D8190B"/>
    <w:rsid w:val="137C604B"/>
    <w:rsid w:val="14454FED"/>
    <w:rsid w:val="15BA1760"/>
    <w:rsid w:val="17FC3D70"/>
    <w:rsid w:val="198D2F37"/>
    <w:rsid w:val="1B9C2EFA"/>
    <w:rsid w:val="20574472"/>
    <w:rsid w:val="22565524"/>
    <w:rsid w:val="24E02548"/>
    <w:rsid w:val="25AF514B"/>
    <w:rsid w:val="29574A1C"/>
    <w:rsid w:val="29FF6557"/>
    <w:rsid w:val="2DA84120"/>
    <w:rsid w:val="2F014A7A"/>
    <w:rsid w:val="2F207778"/>
    <w:rsid w:val="2F7A0132"/>
    <w:rsid w:val="2F8629DC"/>
    <w:rsid w:val="32B00D1D"/>
    <w:rsid w:val="35F56E60"/>
    <w:rsid w:val="3684188C"/>
    <w:rsid w:val="374D538D"/>
    <w:rsid w:val="37D13E49"/>
    <w:rsid w:val="38023F41"/>
    <w:rsid w:val="38130EAA"/>
    <w:rsid w:val="3D9548A9"/>
    <w:rsid w:val="43340846"/>
    <w:rsid w:val="4519390C"/>
    <w:rsid w:val="45945336"/>
    <w:rsid w:val="463C1C6D"/>
    <w:rsid w:val="464A0020"/>
    <w:rsid w:val="46817AA9"/>
    <w:rsid w:val="4785281E"/>
    <w:rsid w:val="481B590E"/>
    <w:rsid w:val="492F4B22"/>
    <w:rsid w:val="4A9F2269"/>
    <w:rsid w:val="4A9F56D0"/>
    <w:rsid w:val="4AA60C03"/>
    <w:rsid w:val="4B502BBD"/>
    <w:rsid w:val="4C585E61"/>
    <w:rsid w:val="4EEB5A0E"/>
    <w:rsid w:val="50155F99"/>
    <w:rsid w:val="50A93F8B"/>
    <w:rsid w:val="50F11007"/>
    <w:rsid w:val="519B67E3"/>
    <w:rsid w:val="51B656B0"/>
    <w:rsid w:val="52C4573F"/>
    <w:rsid w:val="54723614"/>
    <w:rsid w:val="55E426A0"/>
    <w:rsid w:val="5609299F"/>
    <w:rsid w:val="573811C9"/>
    <w:rsid w:val="58494F71"/>
    <w:rsid w:val="5A5D411D"/>
    <w:rsid w:val="5B3A73FE"/>
    <w:rsid w:val="5B607F70"/>
    <w:rsid w:val="5BD83EB9"/>
    <w:rsid w:val="5C4208CA"/>
    <w:rsid w:val="5CAB0157"/>
    <w:rsid w:val="5D6B4BEE"/>
    <w:rsid w:val="5D803419"/>
    <w:rsid w:val="5EDF7145"/>
    <w:rsid w:val="626E7C67"/>
    <w:rsid w:val="6273591B"/>
    <w:rsid w:val="63565C50"/>
    <w:rsid w:val="63B1089F"/>
    <w:rsid w:val="640C4F61"/>
    <w:rsid w:val="64D929D0"/>
    <w:rsid w:val="6611519E"/>
    <w:rsid w:val="68371C46"/>
    <w:rsid w:val="686A4F56"/>
    <w:rsid w:val="68B40E4E"/>
    <w:rsid w:val="69BC348A"/>
    <w:rsid w:val="6BDC6A65"/>
    <w:rsid w:val="6DEE43D2"/>
    <w:rsid w:val="6F14725D"/>
    <w:rsid w:val="6F2D47DB"/>
    <w:rsid w:val="7297598D"/>
    <w:rsid w:val="73DD5530"/>
    <w:rsid w:val="7FA06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正文 + 仿宋_GB2312 Char"/>
    <w:basedOn w:val="6"/>
    <w:link w:val="13"/>
    <w:qFormat/>
    <w:uiPriority w:val="0"/>
    <w:rPr>
      <w:rFonts w:eastAsia="仿宋_GB2312"/>
      <w:kern w:val="2"/>
      <w:sz w:val="28"/>
      <w:szCs w:val="28"/>
      <w:lang w:val="en-US" w:eastAsia="zh-CN" w:bidi="ar-SA"/>
    </w:rPr>
  </w:style>
  <w:style w:type="paragraph" w:customStyle="1" w:styleId="13">
    <w:name w:val="正文 + 仿宋_GB2312"/>
    <w:basedOn w:val="1"/>
    <w:link w:val="12"/>
    <w:qFormat/>
    <w:uiPriority w:val="0"/>
    <w:pPr>
      <w:spacing w:line="540" w:lineRule="exact"/>
      <w:ind w:firstLine="560" w:firstLineChars="200"/>
    </w:pPr>
    <w:rPr>
      <w:rFonts w:eastAsia="仿宋_GB2312"/>
      <w:kern w:val="2"/>
      <w:sz w:val="28"/>
      <w:szCs w:val="28"/>
      <w:lang w:val="en-US" w:eastAsia="zh-CN" w:bidi="ar-SA"/>
    </w:rPr>
  </w:style>
  <w:style w:type="paragraph" w:customStyle="1" w:styleId="14">
    <w:name w:val="列出段落"/>
    <w:basedOn w:val="1"/>
    <w:qFormat/>
    <w:uiPriority w:val="0"/>
    <w:pPr>
      <w:ind w:firstLine="420" w:firstLineChars="200"/>
    </w:pPr>
    <w:rPr>
      <w:rFonts w:ascii="Calibri" w:hAnsi="Calibri"/>
      <w:szCs w:val="22"/>
    </w:rPr>
  </w:style>
  <w:style w:type="paragraph" w:customStyle="1" w:styleId="15">
    <w:name w:val="p0"/>
    <w:basedOn w:val="1"/>
    <w:qFormat/>
    <w:uiPriority w:val="0"/>
    <w:pPr>
      <w:widowControl/>
    </w:pPr>
    <w:rPr>
      <w:rFonts w:ascii="Calibri" w:hAnsi="Calibri" w:cs="宋体"/>
      <w:kern w:val="0"/>
      <w:szCs w:val="21"/>
    </w:rPr>
  </w:style>
  <w:style w:type="character" w:customStyle="1" w:styleId="16">
    <w:name w:val="NormalCharacter"/>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1308</Words>
  <Characters>7462</Characters>
  <Lines>62</Lines>
  <Paragraphs>17</Paragraphs>
  <TotalTime>11</TotalTime>
  <ScaleCrop>false</ScaleCrop>
  <LinksUpToDate>false</LinksUpToDate>
  <CharactersWithSpaces>8753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向碧玉</cp:lastModifiedBy>
  <cp:lastPrinted>2021-07-28T00:12:00Z</cp:lastPrinted>
  <dcterms:modified xsi:type="dcterms:W3CDTF">2021-09-17T01:28:04Z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853D23F0A0F64C4595AC608AE1F187A0</vt:lpwstr>
  </property>
</Properties>
</file>