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州财行指〔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-437" w:rightChars="-208" w:firstLine="640"/>
        <w:jc w:val="both"/>
        <w:rPr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湘西自治州财政局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关于提前下达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宋体"/>
          <w:color w:val="000000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  <w:t>2022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年基层党校维修补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助经费的通知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相关县财政局：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根据《湖南省财政厅关于提前下达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年基层党校维修补助经费的通知》（湘财行指〔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号），现提前下达你县基层党校维修补助经费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万元，列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年政府收支分类支出功能科目“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2013299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其他组织事务支出”，政府预算支出经济分类科目“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机关商品和服务支出”。请加快资金执行进度，确保专款专用。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年基层党校维修补助经费预安排表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pStyle w:val="2"/>
        <w:widowControl/>
        <w:spacing w:before="0" w:beforeAutospacing="0" w:after="0" w:afterAutospacing="0" w:line="600" w:lineRule="exact"/>
        <w:ind w:left="0" w:leftChars="0" w:right="1359" w:rightChars="647"/>
        <w:jc w:val="right"/>
        <w:rPr>
          <w:sz w:val="32"/>
          <w:szCs w:val="32"/>
          <w:lang/>
        </w:rPr>
      </w:pPr>
      <w:r>
        <w:rPr>
          <w:rFonts w:hint="eastAsia" w:ascii="Times New Roman" w:eastAsia="仿宋_GB2312" w:cs="仿宋_GB2312"/>
          <w:sz w:val="32"/>
          <w:szCs w:val="32"/>
          <w:lang/>
        </w:rPr>
        <w:t>湘西自治州财政局</w:t>
      </w:r>
    </w:p>
    <w:p>
      <w:pPr>
        <w:pStyle w:val="2"/>
        <w:widowControl/>
        <w:spacing w:before="0" w:beforeAutospacing="0" w:after="0" w:afterAutospacing="0" w:line="600" w:lineRule="exact"/>
        <w:ind w:left="0" w:leftChars="0" w:right="1325" w:rightChars="631"/>
        <w:jc w:val="right"/>
        <w:rPr>
          <w:sz w:val="32"/>
          <w:szCs w:val="32"/>
          <w:lang/>
        </w:rPr>
      </w:pPr>
      <w:r>
        <w:rPr>
          <w:sz w:val="32"/>
          <w:szCs w:val="32"/>
          <w:lang w:eastAsia="zh-CN"/>
        </w:rPr>
        <w:t>2021</w:t>
      </w:r>
      <w:r>
        <w:rPr>
          <w:rFonts w:hint="eastAsia" w:ascii="Times New Roman" w:eastAsia="仿宋_GB2312" w:cs="仿宋_GB2312"/>
          <w:sz w:val="32"/>
          <w:szCs w:val="32"/>
          <w:lang/>
        </w:rPr>
        <w:t>年</w:t>
      </w:r>
      <w:r>
        <w:rPr>
          <w:sz w:val="32"/>
          <w:szCs w:val="32"/>
          <w:lang w:eastAsia="zh-CN"/>
        </w:rPr>
        <w:t>12</w:t>
      </w:r>
      <w:r>
        <w:rPr>
          <w:rFonts w:hint="eastAsia" w:ascii="Times New Roman" w:eastAsia="仿宋_GB2312" w:cs="仿宋_GB2312"/>
          <w:sz w:val="32"/>
          <w:szCs w:val="32"/>
          <w:lang/>
        </w:rPr>
        <w:t>月</w:t>
      </w:r>
      <w:r>
        <w:rPr>
          <w:sz w:val="32"/>
          <w:szCs w:val="32"/>
          <w:lang w:eastAsia="zh-CN"/>
        </w:rPr>
        <w:t>31</w:t>
      </w:r>
      <w:r>
        <w:rPr>
          <w:rFonts w:hint="eastAsia" w:ascii="Times New Roman" w:eastAsia="仿宋_GB2312" w:cs="仿宋_GB2312"/>
          <w:sz w:val="32"/>
          <w:szCs w:val="32"/>
          <w:lang/>
        </w:rPr>
        <w:t>日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4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仿宋_GB2312" w:cs="Times New Roman"/>
      <w:kern w:val="0"/>
      <w:sz w:val="28"/>
      <w:szCs w:val="24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日期 Char"/>
    <w:basedOn w:val="4"/>
    <w:link w:val="2"/>
    <w:uiPriority w:val="0"/>
    <w:rPr>
      <w:rFonts w:hint="default"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2022-04-11T08:16:03Z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