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州财行指〔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-437" w:rightChars="-208" w:firstLine="640"/>
        <w:jc w:val="both"/>
        <w:rPr>
          <w:sz w:val="32"/>
          <w:szCs w:val="32"/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湘西自治州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eastAsia="zh-CN"/>
        </w:rPr>
        <w:t>财政局关于下达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default" w:ascii="Times New Roman" w:hAnsi="Times New Roman" w:eastAsia="方正小标宋简体" w:cs="宋体"/>
          <w:color w:val="000000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val="en-US"/>
        </w:rPr>
        <w:t>2022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eastAsia="zh-CN"/>
        </w:rPr>
        <w:t>年基层统计调查补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助经费的通知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各县（市）财政局：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根据《湖南省财政厅关于下达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年基层统计调查补助经费的通知》（湘财行指〔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号），现下达你县（市）财政局统计调查补助工作经费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万元，相应列入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年政府收支分类支出功能科目第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项“一般行政管理事务”，政府预算支出经济分类科目第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类“商品和服务支出”。请及时将资金拨付到位，并加强资金监管，充分发挥资金效益。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年基层统计调查补助经费安排表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pStyle w:val="2"/>
        <w:widowControl/>
        <w:spacing w:before="0" w:beforeAutospacing="0" w:after="0" w:afterAutospacing="0" w:line="600" w:lineRule="exact"/>
        <w:ind w:left="0" w:leftChars="0" w:right="1359" w:rightChars="647"/>
        <w:jc w:val="right"/>
        <w:rPr>
          <w:sz w:val="32"/>
          <w:szCs w:val="32"/>
          <w:lang/>
        </w:rPr>
      </w:pPr>
      <w:r>
        <w:rPr>
          <w:rFonts w:hint="eastAsia" w:ascii="Times New Roman" w:eastAsia="仿宋_GB2312" w:cs="仿宋_GB2312"/>
          <w:sz w:val="32"/>
          <w:szCs w:val="32"/>
          <w:lang/>
        </w:rPr>
        <w:t>湘西自治州财政局</w:t>
      </w:r>
    </w:p>
    <w:p>
      <w:pPr>
        <w:pStyle w:val="2"/>
        <w:widowControl/>
        <w:spacing w:before="0" w:beforeAutospacing="0" w:after="0" w:afterAutospacing="0" w:line="600" w:lineRule="exact"/>
        <w:ind w:left="0" w:leftChars="0" w:right="1436" w:rightChars="684"/>
        <w:jc w:val="right"/>
        <w:rPr>
          <w:lang/>
        </w:rPr>
      </w:pPr>
      <w:r>
        <w:rPr>
          <w:sz w:val="32"/>
          <w:szCs w:val="32"/>
          <w:lang w:eastAsia="zh-CN"/>
        </w:rPr>
        <w:t>2022</w:t>
      </w:r>
      <w:r>
        <w:rPr>
          <w:rFonts w:hint="eastAsia" w:ascii="Times New Roman" w:eastAsia="仿宋_GB2312" w:cs="仿宋_GB2312"/>
          <w:sz w:val="32"/>
          <w:szCs w:val="32"/>
          <w:lang/>
        </w:rPr>
        <w:t>年</w:t>
      </w:r>
      <w:r>
        <w:rPr>
          <w:sz w:val="32"/>
          <w:szCs w:val="32"/>
          <w:lang w:eastAsia="zh-CN"/>
        </w:rPr>
        <w:t>2</w:t>
      </w:r>
      <w:r>
        <w:rPr>
          <w:rFonts w:hint="eastAsia" w:ascii="Times New Roman" w:eastAsia="仿宋_GB2312" w:cs="仿宋_GB2312"/>
          <w:sz w:val="32"/>
          <w:szCs w:val="32"/>
          <w:lang/>
        </w:rPr>
        <w:t>月</w:t>
      </w:r>
      <w:r>
        <w:rPr>
          <w:sz w:val="32"/>
          <w:szCs w:val="32"/>
          <w:lang w:eastAsia="zh-CN"/>
        </w:rPr>
        <w:t>8</w:t>
      </w:r>
      <w:r>
        <w:rPr>
          <w:rFonts w:hint="eastAsia" w:ascii="Times New Roman" w:eastAsia="仿宋_GB2312" w:cs="仿宋_GB2312"/>
          <w:sz w:val="32"/>
          <w:szCs w:val="32"/>
          <w:lang/>
        </w:rPr>
        <w:t>日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leftChars="2500" w:right="0"/>
      <w:jc w:val="both"/>
    </w:pPr>
    <w:rPr>
      <w:rFonts w:hint="default" w:ascii="Times New Roman" w:hAnsi="Times New Roman" w:eastAsia="仿宋_GB2312" w:cs="Times New Roman"/>
      <w:kern w:val="0"/>
      <w:sz w:val="28"/>
      <w:szCs w:val="24"/>
      <w:lang w:val="en-US" w:eastAsia="zh-CN" w:bidi="ar"/>
    </w:r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日期 Char"/>
    <w:basedOn w:val="4"/>
    <w:link w:val="2"/>
    <w:uiPriority w:val="0"/>
    <w:rPr>
      <w:rFonts w:hint="default"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2022-04-11T02:02:35Z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