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400" w:lineRule="exact"/>
        <w:jc w:val="center"/>
        <w:rPr>
          <w:rFonts w:hint="eastAsia" w:ascii="仿宋_GB2312"/>
          <w:szCs w:val="32"/>
        </w:rPr>
      </w:pPr>
    </w:p>
    <w:p>
      <w:pPr>
        <w:spacing w:line="520" w:lineRule="exact"/>
        <w:ind w:firstLine="640"/>
        <w:jc w:val="right"/>
        <w:rPr>
          <w:rFonts w:hint="eastAsia" w:eastAsia="仿宋_GB2312"/>
          <w:sz w:val="32"/>
          <w:szCs w:val="32"/>
        </w:rPr>
      </w:pPr>
      <w:r>
        <w:rPr>
          <w:rFonts w:eastAsia="仿宋_GB2312"/>
          <w:sz w:val="32"/>
          <w:szCs w:val="32"/>
        </w:rPr>
        <w:t>州</w:t>
      </w:r>
      <w:r>
        <w:rPr>
          <w:rFonts w:hint="eastAsia" w:eastAsia="仿宋_GB2312"/>
          <w:sz w:val="32"/>
          <w:szCs w:val="32"/>
        </w:rPr>
        <w:t>财资指〔2021〕1号</w:t>
      </w:r>
    </w:p>
    <w:p>
      <w:pPr>
        <w:spacing w:before="240" w:beforeLines="100" w:line="600" w:lineRule="exact"/>
        <w:ind w:right="-437" w:rightChars="-208" w:firstLine="641"/>
        <w:rPr>
          <w:rFonts w:hint="eastAsia"/>
          <w:sz w:val="32"/>
          <w:szCs w:val="32"/>
        </w:rPr>
      </w:pPr>
    </w:p>
    <w:p>
      <w:pPr>
        <w:pStyle w:val="5"/>
        <w:spacing w:before="0" w:beforeAutospacing="0" w:after="0" w:afterAutospacing="0" w:line="70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湘西自治州财政局关于下达2020年</w:t>
      </w:r>
    </w:p>
    <w:p>
      <w:pPr>
        <w:pStyle w:val="5"/>
        <w:spacing w:before="0" w:beforeAutospacing="0" w:after="0" w:afterAutospacing="0" w:line="700" w:lineRule="exact"/>
        <w:jc w:val="center"/>
        <w:rPr>
          <w:rFonts w:hint="eastAsia" w:ascii="Times New Roman" w:hAnsi="Times New Roman" w:eastAsia="方正小标宋简体"/>
          <w:sz w:val="44"/>
          <w:szCs w:val="44"/>
        </w:rPr>
      </w:pPr>
      <w:r>
        <w:rPr>
          <w:rFonts w:hint="eastAsia" w:ascii="方正小标宋简体" w:hAnsi="Times New Roman" w:eastAsia="方正小标宋简体"/>
          <w:color w:val="000000"/>
          <w:sz w:val="44"/>
          <w:szCs w:val="44"/>
        </w:rPr>
        <w:t>第二批资产管理改革工作补助经费的通知</w:t>
      </w:r>
    </w:p>
    <w:p>
      <w:pPr>
        <w:spacing w:before="240" w:beforeLines="100" w:line="620" w:lineRule="exact"/>
        <w:rPr>
          <w:rFonts w:ascii="Calibri" w:hAnsi="Calibri" w:eastAsia="仿宋_GB2312"/>
          <w:sz w:val="32"/>
          <w:szCs w:val="32"/>
        </w:rPr>
      </w:pPr>
    </w:p>
    <w:p>
      <w:pPr>
        <w:pStyle w:val="5"/>
        <w:widowControl w:val="0"/>
        <w:spacing w:before="0" w:beforeAutospacing="0" w:after="0" w:afterAutospacing="0" w:line="600" w:lineRule="exact"/>
        <w:jc w:val="both"/>
        <w:rPr>
          <w:rFonts w:ascii="Times New Roman" w:hAnsi="Times New Roman" w:eastAsia="仿宋_GB2312"/>
          <w:sz w:val="32"/>
          <w:szCs w:val="32"/>
        </w:rPr>
      </w:pPr>
      <w:r>
        <w:rPr>
          <w:rFonts w:hint="eastAsia" w:ascii="Times New Roman" w:hAnsi="Times New Roman" w:eastAsia="仿宋_GB2312"/>
          <w:sz w:val="32"/>
          <w:szCs w:val="32"/>
        </w:rPr>
        <w:t>各县（市）财政局：</w:t>
      </w:r>
    </w:p>
    <w:p>
      <w:pPr>
        <w:pStyle w:val="5"/>
        <w:widowControl w:val="0"/>
        <w:spacing w:before="0" w:beforeAutospacing="0" w:after="0" w:afterAutospacing="0" w:line="60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为贯彻落实党中央关于建立国务院向全国人大常委会报告国有资产管理情况制度的决策部署，加强行政事业性国有资产报告的数据基础，确保行政事业性国有资产月报、年报等全省行政事业资产管理工作有序进行，根据《湖南省财政厅关于下达第二批资产管理改革工作补助经费的通知》（湘财资指〔2020〕16号），现下达你县（市）第二批资产管理改革工作补助经费    万元（详见附件）。此项资金列支出功能分类科目“2010699其他财政事务支出”，政府预算支出经济分类科目“502商品和服务支出”。请你单位加强资金管理，专款专用，不得用于与资产管理业务工作无关的支出，切实提高财政资金使用效益。</w:t>
      </w:r>
    </w:p>
    <w:p>
      <w:pPr>
        <w:spacing w:before="0" w:beforeLines="0" w:after="0" w:afterLines="0" w:line="600" w:lineRule="exact"/>
        <w:ind w:left="1622" w:leftChars="305" w:hanging="982" w:hangingChars="307"/>
        <w:rPr>
          <w:rFonts w:hint="eastAsia" w:eastAsia="仿宋_GB2312"/>
          <w:kern w:val="0"/>
          <w:sz w:val="32"/>
          <w:szCs w:val="32"/>
        </w:rPr>
      </w:pPr>
    </w:p>
    <w:p>
      <w:pPr>
        <w:spacing w:before="0" w:beforeLines="0" w:after="0" w:afterLines="0" w:line="600" w:lineRule="exact"/>
        <w:ind w:left="1622" w:leftChars="305" w:hanging="982" w:hangingChars="307"/>
        <w:rPr>
          <w:rFonts w:hint="eastAsia" w:eastAsia="仿宋_GB2312"/>
          <w:kern w:val="0"/>
          <w:sz w:val="32"/>
          <w:szCs w:val="32"/>
        </w:rPr>
      </w:pPr>
    </w:p>
    <w:p>
      <w:pPr>
        <w:spacing w:before="0" w:beforeLines="0" w:after="0" w:afterLines="0" w:line="600" w:lineRule="exact"/>
        <w:ind w:left="1622" w:leftChars="305" w:hanging="982" w:hangingChars="307"/>
        <w:rPr>
          <w:rFonts w:hint="eastAsia" w:ascii="Times New Roman" w:eastAsia="仿宋_GB2312"/>
          <w:kern w:val="0"/>
          <w:sz w:val="32"/>
          <w:szCs w:val="32"/>
        </w:rPr>
      </w:pPr>
      <w:r>
        <w:rPr>
          <w:rFonts w:hint="eastAsia" w:ascii="Times New Roman" w:eastAsia="仿宋_GB2312"/>
          <w:kern w:val="0"/>
          <w:sz w:val="32"/>
          <w:szCs w:val="32"/>
        </w:rPr>
        <w:t>附件：2020年省级</w:t>
      </w:r>
      <w:r>
        <w:rPr>
          <w:rFonts w:hint="eastAsia" w:ascii="Times New Roman" w:eastAsia="仿宋_GB2312"/>
          <w:sz w:val="32"/>
          <w:szCs w:val="32"/>
        </w:rPr>
        <w:t>第二批</w:t>
      </w:r>
      <w:r>
        <w:rPr>
          <w:rFonts w:hint="eastAsia" w:ascii="Times New Roman" w:eastAsia="仿宋_GB2312"/>
          <w:kern w:val="0"/>
          <w:sz w:val="32"/>
          <w:szCs w:val="32"/>
        </w:rPr>
        <w:t>资产管理改革工作补助经费分配表</w:t>
      </w:r>
    </w:p>
    <w:p>
      <w:pPr>
        <w:spacing w:line="600" w:lineRule="exact"/>
        <w:ind w:firstLine="640" w:firstLineChars="200"/>
        <w:rPr>
          <w:rFonts w:hint="eastAsia" w:ascii="Times New Roman" w:eastAsia="仿宋_GB2312"/>
          <w:sz w:val="32"/>
          <w:szCs w:val="32"/>
        </w:rPr>
      </w:pPr>
    </w:p>
    <w:p>
      <w:pPr>
        <w:pStyle w:val="2"/>
        <w:widowControl w:val="0"/>
        <w:spacing w:line="600" w:lineRule="exact"/>
        <w:ind w:left="0" w:leftChars="0" w:right="1281" w:rightChars="610" w:firstLine="640" w:firstLineChars="200"/>
        <w:jc w:val="both"/>
        <w:rPr>
          <w:rFonts w:hint="eastAsia"/>
          <w:sz w:val="32"/>
          <w:szCs w:val="32"/>
          <w:lang w:eastAsia="zh-CN"/>
        </w:rPr>
      </w:pPr>
    </w:p>
    <w:p>
      <w:pPr>
        <w:pStyle w:val="2"/>
        <w:widowControl w:val="0"/>
        <w:spacing w:line="600" w:lineRule="exact"/>
        <w:ind w:left="0" w:leftChars="0" w:right="1281" w:rightChars="610" w:firstLine="640" w:firstLineChars="200"/>
        <w:jc w:val="both"/>
        <w:rPr>
          <w:rFonts w:hint="eastAsia" w:ascii="Times New Roman"/>
          <w:sz w:val="32"/>
          <w:szCs w:val="32"/>
        </w:rPr>
      </w:pPr>
    </w:p>
    <w:p>
      <w:pPr>
        <w:pStyle w:val="2"/>
        <w:widowControl w:val="0"/>
        <w:spacing w:line="600" w:lineRule="exact"/>
        <w:ind w:left="0" w:leftChars="0" w:right="1281" w:rightChars="610" w:firstLine="640" w:firstLineChars="200"/>
        <w:jc w:val="right"/>
        <w:rPr>
          <w:rFonts w:hint="eastAsia" w:ascii="Times New Roman"/>
          <w:sz w:val="32"/>
          <w:szCs w:val="32"/>
        </w:rPr>
      </w:pPr>
      <w:r>
        <w:rPr>
          <w:rFonts w:hint="eastAsia" w:ascii="Times New Roman"/>
          <w:sz w:val="32"/>
          <w:szCs w:val="32"/>
        </w:rPr>
        <w:t>湘西自治州财政局</w:t>
      </w:r>
    </w:p>
    <w:p>
      <w:pPr>
        <w:pStyle w:val="2"/>
        <w:widowControl w:val="0"/>
        <w:spacing w:line="600" w:lineRule="exact"/>
        <w:ind w:left="0" w:leftChars="0" w:right="1281" w:rightChars="610" w:firstLine="640" w:firstLineChars="200"/>
        <w:jc w:val="right"/>
        <w:rPr>
          <w:rFonts w:hint="eastAsia" w:ascii="Times New Roman"/>
          <w:sz w:val="32"/>
          <w:szCs w:val="32"/>
        </w:rPr>
      </w:pPr>
      <w:bookmarkStart w:id="0" w:name="_GoBack"/>
      <w:bookmarkEnd w:id="0"/>
      <w:r>
        <w:rPr>
          <w:rFonts w:hint="eastAsia" w:ascii="Times New Roman"/>
          <w:sz w:val="32"/>
          <w:szCs w:val="32"/>
        </w:rPr>
        <w:t>2021年</w:t>
      </w:r>
      <w:r>
        <w:rPr>
          <w:rFonts w:hint="eastAsia"/>
          <w:sz w:val="32"/>
          <w:szCs w:val="32"/>
          <w:lang w:eastAsia="zh-CN"/>
        </w:rPr>
        <w:t>6</w:t>
      </w:r>
      <w:r>
        <w:rPr>
          <w:rFonts w:hint="eastAsia" w:ascii="Times New Roman"/>
          <w:sz w:val="32"/>
          <w:szCs w:val="32"/>
        </w:rPr>
        <w:t>月</w:t>
      </w:r>
      <w:r>
        <w:rPr>
          <w:rFonts w:hint="eastAsia"/>
          <w:sz w:val="32"/>
          <w:szCs w:val="32"/>
          <w:lang w:eastAsia="zh-CN"/>
        </w:rPr>
        <w:t>29</w:t>
      </w:r>
      <w:r>
        <w:rPr>
          <w:rFonts w:hint="eastAsia" w:ascii="Times New Roman"/>
          <w:sz w:val="32"/>
          <w:szCs w:val="32"/>
        </w:rPr>
        <w:t>日</w:t>
      </w:r>
    </w:p>
    <w:p>
      <w:pPr>
        <w:spacing w:line="600" w:lineRule="exact"/>
        <w:rPr>
          <w:rFonts w:hint="eastAsia"/>
        </w:rPr>
      </w:pPr>
      <w:r>
        <w:rPr>
          <w:rFonts w:hint="eastAsia" w:ascii="仿宋_GB2312" w:eastAsia="仿宋_GB2312"/>
          <w:sz w:val="32"/>
          <w:szCs w:val="32"/>
        </w:rPr>
        <w:t xml:space="preserve"> </w:t>
      </w: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sz w:val="21"/>
          <w:szCs w:val="24"/>
        </w:rPr>
      </w:pPr>
    </w:p>
    <w:p>
      <w:pPr>
        <w:spacing w:line="600" w:lineRule="exact"/>
      </w:pPr>
      <w:r>
        <w:rPr>
          <w:rFonts w:hint="eastAsia" w:eastAsia="黑体"/>
          <w:sz w:val="28"/>
          <w:szCs w:val="28"/>
        </w:rPr>
        <w:t>信息公开选项：</w:t>
      </w:r>
      <w:r>
        <w:rPr>
          <w:rFonts w:hint="eastAsia" w:eastAsia="方正小标宋_GBK"/>
          <w:sz w:val="28"/>
          <w:szCs w:val="28"/>
        </w:rPr>
        <w:t>主动公开</w:t>
      </w:r>
    </w:p>
    <w:p/>
    <w:sectPr>
      <w:headerReference r:id="rId4" w:type="first"/>
      <w:footerReference r:id="rId7" w:type="first"/>
      <w:headerReference r:id="rId3" w:type="default"/>
      <w:footerReference r:id="rId5" w:type="default"/>
      <w:footerReference r:id="rId6" w:type="even"/>
      <w:pgSz w:w="11905" w:h="16837"/>
      <w:pgMar w:top="1418" w:right="1531" w:bottom="1985" w:left="1531" w:header="720" w:footer="1701" w:gutter="0"/>
      <w:pgNumType w:fmt="numberInDash"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58240" behindDoc="0" locked="0" layoutInCell="1" allowOverlap="1">
              <wp:simplePos x="0" y="0"/>
              <wp:positionH relativeFrom="column">
                <wp:posOffset>-241300</wp:posOffset>
              </wp:positionH>
              <wp:positionV relativeFrom="page">
                <wp:posOffset>9876155</wp:posOffset>
              </wp:positionV>
              <wp:extent cx="6096000" cy="38100"/>
              <wp:effectExtent l="0" t="7620" r="0" b="30480"/>
              <wp:wrapNone/>
              <wp:docPr id="6" name="组合 6"/>
              <wp:cNvGraphicFramePr/>
              <a:graphic xmlns:a="http://schemas.openxmlformats.org/drawingml/2006/main">
                <a:graphicData uri="http://schemas.microsoft.com/office/word/2010/wordprocessingGroup">
                  <wpg:wgp>
                    <wpg:cNvGrpSpPr/>
                    <wpg:grpSpPr>
                      <a:xfrm>
                        <a:off x="0" y="0"/>
                        <a:ext cx="6096000" cy="38100"/>
                        <a:chOff x="1299" y="15554"/>
                        <a:chExt cx="9600" cy="60"/>
                      </a:xfrm>
                    </wpg:grpSpPr>
                    <wps:wsp>
                      <wps:cNvPr id="4" name="直接连接符 4"/>
                      <wps:cNvSpPr/>
                      <wps:spPr>
                        <a:xfrm>
                          <a:off x="1299" y="15614"/>
                          <a:ext cx="9600" cy="0"/>
                        </a:xfrm>
                        <a:prstGeom prst="line">
                          <a:avLst/>
                        </a:prstGeom>
                        <a:ln w="38100" cap="flat" cmpd="sng">
                          <a:solidFill>
                            <a:srgbClr val="FF0000"/>
                          </a:solidFill>
                          <a:prstDash val="solid"/>
                          <a:headEnd type="none" w="med" len="med"/>
                          <a:tailEnd type="none" w="med" len="med"/>
                        </a:ln>
                      </wps:spPr>
                      <wps:bodyPr upright="1"/>
                    </wps:wsp>
                    <wps:wsp>
                      <wps:cNvPr id="5" name="直接连接符 5"/>
                      <wps:cNvSpPr/>
                      <wps:spPr>
                        <a:xfrm>
                          <a:off x="1299" y="15554"/>
                          <a:ext cx="9600" cy="0"/>
                        </a:xfrm>
                        <a:prstGeom prst="line">
                          <a:avLst/>
                        </a:prstGeom>
                        <a:ln w="1587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9pt;margin-top:777.65pt;height:3pt;width:480pt;mso-position-vertical-relative:page;z-index:251658240;mso-width-relative:page;mso-height-relative:page;" coordorigin="1299,15554" coordsize="9600,60" o:gfxdata="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0R5on2wAAAA0BAAAPAAAAAAAAAAEAIAAAACIAAABkcnMvZG93bnJldi54&#10;bWxQSwECFAAUAAAACACHTuJAI1hM1mkCAADUBgAADgAAAAAAAAABACAAAAAqAQAAZHJzL2Uyb0Rv&#10;Yy54bWxQSwUGAAAAAAYABgBZAQAABQYAAAAA&#10;">
              <o:lock v:ext="edit" aspectratio="f"/>
              <v:line id="_x0000_s1026" o:spid="_x0000_s1026" o:spt="20" style="position:absolute;left:1299;top:15614;height:0;width:9600;" filled="f" stroked="t" coordsize="21600,21600" o:gfxdata="UEsDBAoAAAAAAIdO4kAAAAAAAAAAAAAAAAAEAAAAZHJzL1BLAwQUAAAACACHTuJARdyZYb8AAADa&#10;AAAADwAAAGRycy9kb3ducmV2LnhtbEWPT2vCQBTE74LfYXlCL6VuLKV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cmWG/&#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_x0000_s1026" o:spid="_x0000_s1026" o:spt="20" style="position:absolute;left:1299;top:15554;height:0;width:9600;" filled="f" stroked="t" coordsize="21600,21600" o:gfxdata="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Nos3vQAA&#10;ANoAAAAPAAAAAAAAAAEAIAAAACIAAABkcnMvZG93bnJldi54bWxQSwECFAAUAAAACACHTuJAMy8F&#10;njsAAAA5AAAAEAAAAAAAAAABACAAAAAMAQAAZHJzL3NoYXBleG1sLnhtbFBLBQYAAAAABgAGAFsB&#10;AAC2AwAAAAA=&#10;">
                <v:fill on="f" focussize="0,0"/>
                <v:stroke weight="1.25pt" color="#FF0000" joinstyle="round"/>
                <v:imagedata o:title=""/>
                <o:lock v:ext="edit" aspectratio="f"/>
              </v:lin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625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rPr>
      <w:rFonts w:eastAsia="仿宋_GB2312"/>
      <w:kern w:val="0"/>
      <w:sz w:val="28"/>
    </w:rPr>
  </w:style>
  <w:style w:type="paragraph" w:styleId="3">
    <w:name w:val="footer"/>
    <w:basedOn w:val="1"/>
    <w:uiPriority w:val="0"/>
    <w:pPr>
      <w:tabs>
        <w:tab w:val="center" w:pos="4153"/>
        <w:tab w:val="right" w:pos="8306"/>
      </w:tabs>
      <w:snapToGrid w:val="0"/>
      <w:jc w:val="left"/>
    </w:pPr>
    <w:rPr>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张丽琼</cp:lastModifiedBy>
  <dcterms:modified xsi:type="dcterms:W3CDTF">2021-06-30T01:50:23Z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